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6E266" w14:textId="5FDA4484" w:rsidR="001A3E62" w:rsidRPr="004E0CEA" w:rsidRDefault="001A3E62" w:rsidP="001A3E62">
      <w:pPr>
        <w:tabs>
          <w:tab w:val="right" w:pos="9781"/>
          <w:tab w:val="right" w:pos="14034"/>
        </w:tabs>
        <w:spacing w:before="60" w:after="60"/>
        <w:outlineLvl w:val="0"/>
        <w:rPr>
          <w:rFonts w:eastAsia="MS Mincho" w:cs="Arial"/>
          <w:b/>
          <w:sz w:val="24"/>
          <w:szCs w:val="24"/>
          <w:lang w:val="en-US"/>
        </w:rPr>
      </w:pPr>
      <w:bookmarkStart w:id="0" w:name="_Hlk149678505"/>
      <w:bookmarkStart w:id="1" w:name="OLE_LINK10"/>
      <w:bookmarkStart w:id="2" w:name="OLE_LINK11"/>
      <w:bookmarkStart w:id="3" w:name="OLE_LINK16"/>
      <w:bookmarkStart w:id="4" w:name="OLE_LINK17"/>
      <w:r w:rsidRPr="004E0CEA">
        <w:rPr>
          <w:rFonts w:eastAsia="MS Mincho" w:cs="Arial"/>
          <w:b/>
          <w:sz w:val="24"/>
          <w:szCs w:val="24"/>
          <w:lang w:val="en-US"/>
        </w:rPr>
        <w:t>3GPP TSG-RAN WG4 Meeting # 109</w:t>
      </w:r>
      <w:r w:rsidRPr="004E0CEA">
        <w:rPr>
          <w:rFonts w:eastAsia="MS Mincho" w:cs="Arial"/>
          <w:b/>
          <w:sz w:val="24"/>
          <w:szCs w:val="24"/>
          <w:lang w:val="en-US"/>
        </w:rPr>
        <w:tab/>
      </w:r>
      <w:r w:rsidR="005F5CD7" w:rsidRPr="005F5CD7">
        <w:rPr>
          <w:rFonts w:eastAsia="MS Mincho" w:cs="Arial"/>
          <w:b/>
          <w:sz w:val="24"/>
          <w:szCs w:val="24"/>
          <w:lang w:val="en-US"/>
        </w:rPr>
        <w:t>R4-2319498</w:t>
      </w:r>
    </w:p>
    <w:p w14:paraId="5C33DD98" w14:textId="2A78DE33" w:rsidR="00D0573B" w:rsidRPr="001A3E62" w:rsidRDefault="001A3E62" w:rsidP="001A3E62">
      <w:pPr>
        <w:tabs>
          <w:tab w:val="right" w:pos="9781"/>
          <w:tab w:val="right" w:pos="13323"/>
        </w:tabs>
        <w:spacing w:before="60" w:after="60"/>
        <w:outlineLvl w:val="0"/>
        <w:rPr>
          <w:rFonts w:cs="Arial"/>
          <w:b/>
          <w:sz w:val="24"/>
          <w:szCs w:val="24"/>
        </w:rPr>
      </w:pPr>
      <w:r w:rsidRPr="004E0CEA">
        <w:rPr>
          <w:rFonts w:eastAsia="MS Mincho" w:cs="Arial"/>
          <w:b/>
          <w:sz w:val="24"/>
          <w:szCs w:val="24"/>
          <w:lang w:val="en-US"/>
        </w:rPr>
        <w:t>Chicago, US, November 13 – 17, 2023</w:t>
      </w:r>
      <w:bookmarkEnd w:id="0"/>
      <w:r w:rsidR="00D0573B">
        <w:rPr>
          <w:rFonts w:cs="Arial"/>
          <w:b/>
          <w:sz w:val="22"/>
          <w:szCs w:val="22"/>
          <w:lang w:val="en-US"/>
        </w:rPr>
        <w:tab/>
      </w:r>
      <w:bookmarkEnd w:id="1"/>
      <w:bookmarkEnd w:id="2"/>
      <w:bookmarkEnd w:id="3"/>
      <w:bookmarkEnd w:id="4"/>
    </w:p>
    <w:p w14:paraId="5A751396" w14:textId="5B95ACCB" w:rsidR="001A3E62" w:rsidRDefault="001A3E62" w:rsidP="001A3E62">
      <w:pPr>
        <w:tabs>
          <w:tab w:val="left" w:pos="1985"/>
        </w:tabs>
        <w:rPr>
          <w:sz w:val="24"/>
          <w:lang w:val="en-US"/>
        </w:rPr>
      </w:pPr>
      <w:r w:rsidRPr="002D2977">
        <w:rPr>
          <w:b/>
          <w:sz w:val="24"/>
          <w:lang w:val="en-US"/>
        </w:rPr>
        <w:t>Agenda item:</w:t>
      </w:r>
      <w:r w:rsidRPr="002D2977">
        <w:rPr>
          <w:sz w:val="24"/>
          <w:lang w:val="en-US"/>
        </w:rPr>
        <w:tab/>
      </w:r>
      <w:r>
        <w:rPr>
          <w:sz w:val="24"/>
          <w:lang w:val="en-US"/>
        </w:rPr>
        <w:t>11</w:t>
      </w:r>
      <w:r w:rsidRPr="00AB319F">
        <w:rPr>
          <w:sz w:val="24"/>
          <w:lang w:val="en-US"/>
        </w:rPr>
        <w:t>.</w:t>
      </w:r>
      <w:r>
        <w:rPr>
          <w:sz w:val="24"/>
          <w:lang w:val="en-US"/>
        </w:rPr>
        <w:t>3</w:t>
      </w:r>
      <w:r w:rsidRPr="00AB319F">
        <w:rPr>
          <w:sz w:val="24"/>
          <w:lang w:val="en-US"/>
        </w:rPr>
        <w:t>.</w:t>
      </w:r>
      <w:r>
        <w:rPr>
          <w:sz w:val="24"/>
          <w:lang w:val="en-US"/>
        </w:rPr>
        <w:t>4</w:t>
      </w:r>
    </w:p>
    <w:p w14:paraId="0FE8113C" w14:textId="18178C7B" w:rsidR="001A3E62" w:rsidRPr="002D2977" w:rsidRDefault="001A3E62" w:rsidP="001A3E62">
      <w:pPr>
        <w:tabs>
          <w:tab w:val="left" w:pos="1985"/>
        </w:tabs>
        <w:rPr>
          <w:sz w:val="24"/>
          <w:lang w:val="en-US"/>
        </w:rPr>
      </w:pPr>
      <w:r w:rsidRPr="002D2977">
        <w:rPr>
          <w:b/>
          <w:sz w:val="24"/>
          <w:lang w:val="en-US"/>
        </w:rPr>
        <w:t xml:space="preserve">Source: </w:t>
      </w:r>
      <w:r w:rsidRPr="002D2977">
        <w:rPr>
          <w:b/>
          <w:sz w:val="24"/>
          <w:lang w:val="en-US"/>
        </w:rPr>
        <w:tab/>
      </w:r>
      <w:r>
        <w:rPr>
          <w:sz w:val="24"/>
          <w:lang w:val="en-US"/>
        </w:rPr>
        <w:t>OPPO</w:t>
      </w:r>
    </w:p>
    <w:p w14:paraId="54E9EE9B" w14:textId="45F3640C" w:rsidR="001A3E62" w:rsidRPr="002D2977" w:rsidRDefault="001A3E62" w:rsidP="001A3E62">
      <w:pPr>
        <w:tabs>
          <w:tab w:val="left" w:pos="1985"/>
        </w:tabs>
        <w:ind w:left="1980" w:hanging="1980"/>
        <w:rPr>
          <w:sz w:val="24"/>
          <w:lang w:val="en-US"/>
        </w:rPr>
      </w:pPr>
      <w:r w:rsidRPr="002D2977">
        <w:rPr>
          <w:b/>
          <w:sz w:val="24"/>
          <w:lang w:val="en-US"/>
        </w:rPr>
        <w:t>Title:</w:t>
      </w:r>
      <w:r w:rsidRPr="002D2977">
        <w:rPr>
          <w:sz w:val="24"/>
          <w:lang w:val="en-US"/>
        </w:rPr>
        <w:t xml:space="preserve"> </w:t>
      </w:r>
      <w:r w:rsidRPr="002D2977">
        <w:rPr>
          <w:sz w:val="24"/>
          <w:lang w:val="en-US"/>
        </w:rPr>
        <w:tab/>
      </w:r>
      <w:r w:rsidRPr="00B36FDF">
        <w:rPr>
          <w:sz w:val="24"/>
          <w:lang w:val="en-US"/>
        </w:rPr>
        <w:t xml:space="preserve">Discussion on </w:t>
      </w:r>
      <w:r w:rsidR="002E446F" w:rsidRPr="002E446F">
        <w:rPr>
          <w:sz w:val="24"/>
          <w:lang w:val="en-US"/>
        </w:rPr>
        <w:t>left issues for MRTD-MTTD requirements in ENDC and NEDC</w:t>
      </w:r>
      <w:r w:rsidR="002E446F" w:rsidRPr="002E446F">
        <w:rPr>
          <w:rFonts w:hint="eastAsia"/>
          <w:sz w:val="24"/>
          <w:lang w:val="en-US"/>
        </w:rPr>
        <w:t xml:space="preserve"> </w:t>
      </w:r>
    </w:p>
    <w:p w14:paraId="2A164AC9" w14:textId="4F73A532" w:rsidR="00D0573B" w:rsidRPr="001A3E62" w:rsidRDefault="001A3E62" w:rsidP="001A3E62">
      <w:pPr>
        <w:tabs>
          <w:tab w:val="left" w:pos="1985"/>
        </w:tabs>
        <w:ind w:left="1980" w:hanging="1980"/>
        <w:rPr>
          <w:sz w:val="24"/>
          <w:lang w:val="en-US"/>
        </w:rPr>
      </w:pPr>
      <w:r w:rsidRPr="002D2977">
        <w:rPr>
          <w:b/>
          <w:sz w:val="24"/>
          <w:lang w:val="en-US"/>
        </w:rPr>
        <w:t>Document for:</w:t>
      </w:r>
      <w:r w:rsidRPr="002D2977">
        <w:rPr>
          <w:sz w:val="24"/>
          <w:lang w:val="en-US"/>
        </w:rPr>
        <w:tab/>
        <w:t>Discussion</w:t>
      </w:r>
    </w:p>
    <w:p w14:paraId="343FBF36" w14:textId="77777777" w:rsidR="00D0573B" w:rsidRDefault="00D0573B">
      <w:pPr>
        <w:pStyle w:val="1"/>
      </w:pPr>
      <w:bookmarkStart w:id="5" w:name="_Ref488331639"/>
      <w:r>
        <w:t>Introduction</w:t>
      </w:r>
      <w:bookmarkEnd w:id="5"/>
    </w:p>
    <w:p w14:paraId="614529AC" w14:textId="7CC06F5B" w:rsidR="006C3A75" w:rsidRPr="00921DE3" w:rsidRDefault="00D0573B" w:rsidP="00DF4177">
      <w:pPr>
        <w:tabs>
          <w:tab w:val="left" w:pos="0"/>
        </w:tabs>
        <w:rPr>
          <w:lang w:val="en-US"/>
        </w:rPr>
      </w:pPr>
      <w:r w:rsidRPr="00772B52">
        <w:rPr>
          <w:sz w:val="21"/>
          <w:lang w:val="en-US"/>
        </w:rPr>
        <w:t xml:space="preserve">This is </w:t>
      </w:r>
      <w:bookmarkStart w:id="6" w:name="_Ref178064866"/>
      <w:r w:rsidR="003264B4" w:rsidRPr="00772B52">
        <w:rPr>
          <w:sz w:val="21"/>
          <w:lang w:val="en-US"/>
        </w:rPr>
        <w:t>to discuss the</w:t>
      </w:r>
      <w:r w:rsidR="00B61478" w:rsidRPr="00772B52">
        <w:rPr>
          <w:sz w:val="21"/>
          <w:lang w:val="en-US"/>
        </w:rPr>
        <w:t xml:space="preserve"> </w:t>
      </w:r>
      <w:r w:rsidR="007A7FE3" w:rsidRPr="00772B52">
        <w:rPr>
          <w:sz w:val="21"/>
          <w:lang w:val="en-US"/>
        </w:rPr>
        <w:t>left issue</w:t>
      </w:r>
      <w:r w:rsidR="002E446F">
        <w:rPr>
          <w:sz w:val="21"/>
          <w:lang w:val="en-US"/>
        </w:rPr>
        <w:t>s</w:t>
      </w:r>
      <w:r w:rsidR="007A7FE3" w:rsidRPr="00772B52">
        <w:rPr>
          <w:sz w:val="21"/>
          <w:lang w:val="en-US"/>
        </w:rPr>
        <w:t xml:space="preserve"> </w:t>
      </w:r>
      <w:r w:rsidR="00921DE3" w:rsidRPr="00772B52">
        <w:rPr>
          <w:rFonts w:hint="eastAsia"/>
          <w:sz w:val="21"/>
          <w:lang w:val="en-US"/>
        </w:rPr>
        <w:t>related</w:t>
      </w:r>
      <w:r w:rsidR="00921DE3" w:rsidRPr="00772B52">
        <w:rPr>
          <w:sz w:val="21"/>
          <w:lang w:val="en-US"/>
        </w:rPr>
        <w:t xml:space="preserve"> </w:t>
      </w:r>
      <w:r w:rsidR="00921DE3" w:rsidRPr="00772B52">
        <w:rPr>
          <w:rFonts w:hint="eastAsia"/>
          <w:sz w:val="21"/>
          <w:lang w:val="en-US"/>
        </w:rPr>
        <w:t>to</w:t>
      </w:r>
      <w:r w:rsidR="00921DE3" w:rsidRPr="00772B52">
        <w:rPr>
          <w:sz w:val="21"/>
          <w:lang w:val="en-US"/>
        </w:rPr>
        <w:t xml:space="preserve"> </w:t>
      </w:r>
      <w:r w:rsidR="00921DE3" w:rsidRPr="00772B52">
        <w:rPr>
          <w:rFonts w:hint="eastAsia"/>
          <w:sz w:val="21"/>
          <w:lang w:val="en-US"/>
        </w:rPr>
        <w:t>r</w:t>
      </w:r>
      <w:r w:rsidR="00921DE3" w:rsidRPr="00772B52">
        <w:rPr>
          <w:sz w:val="21"/>
          <w:lang w:val="en-US"/>
        </w:rPr>
        <w:t>eply LS on update for “interBandMRDC-WithOverlapDL-Bands-r16” in 38.306</w:t>
      </w:r>
      <w:r w:rsidR="002E446F">
        <w:rPr>
          <w:sz w:val="21"/>
          <w:lang w:val="en-US"/>
        </w:rPr>
        <w:t xml:space="preserve"> </w:t>
      </w:r>
      <w:r w:rsidR="002E446F" w:rsidRPr="002E446F">
        <w:rPr>
          <w:sz w:val="21"/>
          <w:lang w:val="en-US"/>
        </w:rPr>
        <w:t>(R2-2309218)</w:t>
      </w:r>
      <w:r w:rsidR="00921DE3" w:rsidRPr="00772B52">
        <w:rPr>
          <w:rFonts w:hint="eastAsia"/>
          <w:sz w:val="21"/>
          <w:lang w:val="en-US"/>
        </w:rPr>
        <w:t>.</w:t>
      </w:r>
    </w:p>
    <w:bookmarkEnd w:id="6"/>
    <w:p w14:paraId="23312DF5" w14:textId="2AE4438C" w:rsidR="00D0573B" w:rsidRDefault="007E5320" w:rsidP="005662A3">
      <w:pPr>
        <w:pStyle w:val="1"/>
        <w:ind w:left="720" w:hangingChars="200" w:hanging="720"/>
        <w:jc w:val="both"/>
      </w:pPr>
      <w:r>
        <w:t>Discussion</w:t>
      </w:r>
    </w:p>
    <w:p w14:paraId="6AAB3CE8" w14:textId="755CB11B" w:rsidR="007A7FE3" w:rsidRPr="00772B52" w:rsidRDefault="007A7FE3" w:rsidP="007A7FE3">
      <w:pPr>
        <w:pStyle w:val="TAL"/>
        <w:pBdr>
          <w:top w:val="single" w:sz="4" w:space="1" w:color="auto"/>
          <w:left w:val="single" w:sz="4" w:space="4" w:color="auto"/>
          <w:bottom w:val="single" w:sz="4" w:space="1" w:color="auto"/>
          <w:right w:val="single" w:sz="4" w:space="4" w:color="auto"/>
        </w:pBdr>
        <w:rPr>
          <w:rFonts w:ascii="Times New Roman" w:eastAsia="Malgun Gothic" w:hAnsi="Times New Roman"/>
          <w:sz w:val="21"/>
          <w:szCs w:val="21"/>
          <w:lang w:val="en-US" w:eastAsia="zh-CN"/>
        </w:rPr>
      </w:pPr>
      <w:r w:rsidRPr="00772B52">
        <w:rPr>
          <w:rFonts w:ascii="Times New Roman" w:eastAsia="Malgun Gothic" w:hAnsi="Times New Roman"/>
          <w:sz w:val="21"/>
          <w:szCs w:val="21"/>
          <w:lang w:val="en-US" w:eastAsia="zh-CN"/>
        </w:rPr>
        <w:t>The signaling</w:t>
      </w:r>
      <w:r w:rsidRPr="00772B52">
        <w:rPr>
          <w:rFonts w:ascii="Times New Roman" w:eastAsia="Malgun Gothic" w:hAnsi="Times New Roman"/>
          <w:i/>
          <w:iCs/>
          <w:sz w:val="21"/>
          <w:szCs w:val="21"/>
          <w:lang w:val="en-US" w:eastAsia="zh-CN"/>
        </w:rPr>
        <w:t xml:space="preserve"> “</w:t>
      </w:r>
      <w:proofErr w:type="spellStart"/>
      <w:r w:rsidRPr="00772B52">
        <w:rPr>
          <w:rFonts w:ascii="Times New Roman" w:eastAsia="Malgun Gothic" w:hAnsi="Times New Roman"/>
          <w:i/>
          <w:iCs/>
          <w:sz w:val="21"/>
          <w:szCs w:val="21"/>
          <w:lang w:val="en-US" w:eastAsia="zh-CN"/>
        </w:rPr>
        <w:t>asyncIntraBandENDC</w:t>
      </w:r>
      <w:proofErr w:type="spellEnd"/>
      <w:r w:rsidRPr="00772B52">
        <w:rPr>
          <w:rFonts w:ascii="Times New Roman" w:eastAsia="Malgun Gothic" w:hAnsi="Times New Roman"/>
          <w:i/>
          <w:iCs/>
          <w:sz w:val="21"/>
          <w:szCs w:val="21"/>
          <w:lang w:val="en-US" w:eastAsia="zh-CN"/>
        </w:rPr>
        <w:t xml:space="preserve">” </w:t>
      </w:r>
      <w:r w:rsidRPr="00772B52">
        <w:rPr>
          <w:rFonts w:ascii="Times New Roman" w:eastAsia="Malgun Gothic" w:hAnsi="Times New Roman"/>
          <w:sz w:val="21"/>
          <w:szCs w:val="21"/>
          <w:lang w:val="en-US" w:eastAsia="zh-CN"/>
        </w:rPr>
        <w:t xml:space="preserve">was introduced for intra-band EN-DC, while </w:t>
      </w:r>
      <w:r w:rsidRPr="00772B52">
        <w:rPr>
          <w:rFonts w:ascii="Times New Roman" w:eastAsia="Malgun Gothic" w:hAnsi="Times New Roman"/>
          <w:sz w:val="21"/>
          <w:szCs w:val="21"/>
          <w:highlight w:val="green"/>
          <w:lang w:val="en-US" w:eastAsia="zh-CN"/>
        </w:rPr>
        <w:t>it is further extended to cover inter-band EN-DC with overlapping frequency</w:t>
      </w:r>
      <w:r w:rsidRPr="00772B52">
        <w:rPr>
          <w:rFonts w:ascii="Times New Roman" w:eastAsia="Malgun Gothic" w:hAnsi="Times New Roman"/>
          <w:sz w:val="21"/>
          <w:szCs w:val="21"/>
          <w:lang w:val="en-US" w:eastAsia="zh-CN"/>
        </w:rPr>
        <w:t xml:space="preserve">. </w:t>
      </w:r>
    </w:p>
    <w:p w14:paraId="464C817F" w14:textId="0EBD8350" w:rsidR="007A7FE3" w:rsidRPr="00772B52" w:rsidRDefault="007A7FE3" w:rsidP="007A7FE3">
      <w:pPr>
        <w:pStyle w:val="TAL"/>
        <w:pBdr>
          <w:top w:val="single" w:sz="4" w:space="1" w:color="auto"/>
          <w:left w:val="single" w:sz="4" w:space="4" w:color="auto"/>
          <w:bottom w:val="single" w:sz="4" w:space="1" w:color="auto"/>
          <w:right w:val="single" w:sz="4" w:space="4" w:color="auto"/>
        </w:pBdr>
        <w:rPr>
          <w:rFonts w:ascii="Times New Roman" w:eastAsiaTheme="minorEastAsia" w:hAnsi="Times New Roman"/>
          <w:sz w:val="21"/>
          <w:szCs w:val="21"/>
          <w:lang w:val="en-US" w:eastAsia="zh-CN"/>
        </w:rPr>
      </w:pPr>
      <w:r w:rsidRPr="00772B52">
        <w:rPr>
          <w:rFonts w:ascii="Times New Roman" w:eastAsiaTheme="minorEastAsia" w:hAnsi="Times New Roman"/>
          <w:sz w:val="21"/>
          <w:szCs w:val="21"/>
          <w:lang w:val="en-US" w:eastAsia="zh-CN"/>
        </w:rPr>
        <w:t>[…]</w:t>
      </w:r>
    </w:p>
    <w:p w14:paraId="0010D097" w14:textId="77777777" w:rsidR="007A7FE3" w:rsidRPr="00772B52" w:rsidRDefault="007A7FE3" w:rsidP="007A7FE3">
      <w:pPr>
        <w:pStyle w:val="TAL"/>
        <w:pBdr>
          <w:top w:val="single" w:sz="4" w:space="1" w:color="auto"/>
          <w:left w:val="single" w:sz="4" w:space="4" w:color="auto"/>
          <w:bottom w:val="single" w:sz="4" w:space="1" w:color="auto"/>
          <w:right w:val="single" w:sz="4" w:space="4" w:color="auto"/>
        </w:pBdr>
        <w:rPr>
          <w:rFonts w:ascii="Times New Roman" w:eastAsia="Malgun Gothic" w:hAnsi="Times New Roman"/>
          <w:sz w:val="21"/>
          <w:szCs w:val="21"/>
          <w:lang w:val="en-US" w:eastAsia="zh-CN"/>
        </w:rPr>
      </w:pPr>
      <w:r w:rsidRPr="00772B52">
        <w:rPr>
          <w:rFonts w:ascii="Times New Roman" w:eastAsia="Malgun Gothic" w:hAnsi="Times New Roman"/>
          <w:sz w:val="21"/>
          <w:szCs w:val="21"/>
          <w:lang w:val="en-US" w:eastAsia="zh-CN"/>
        </w:rPr>
        <w:t>Further, the signaling</w:t>
      </w:r>
      <w:r w:rsidRPr="00772B52">
        <w:rPr>
          <w:rFonts w:ascii="Times New Roman" w:eastAsia="Malgun Gothic" w:hAnsi="Times New Roman"/>
          <w:i/>
          <w:iCs/>
          <w:sz w:val="21"/>
          <w:szCs w:val="21"/>
          <w:lang w:val="en-US" w:eastAsia="zh-CN"/>
        </w:rPr>
        <w:t xml:space="preserve"> “</w:t>
      </w:r>
      <w:proofErr w:type="spellStart"/>
      <w:r w:rsidRPr="00772B52">
        <w:rPr>
          <w:rFonts w:ascii="Times New Roman" w:eastAsia="Malgun Gothic" w:hAnsi="Times New Roman"/>
          <w:i/>
          <w:iCs/>
          <w:sz w:val="21"/>
          <w:szCs w:val="21"/>
          <w:lang w:val="en-US" w:eastAsia="zh-CN"/>
        </w:rPr>
        <w:t>asyncIntraBandENDC</w:t>
      </w:r>
      <w:proofErr w:type="spellEnd"/>
      <w:r w:rsidRPr="00772B52">
        <w:rPr>
          <w:rFonts w:ascii="Times New Roman" w:eastAsia="Malgun Gothic" w:hAnsi="Times New Roman"/>
          <w:i/>
          <w:iCs/>
          <w:sz w:val="21"/>
          <w:szCs w:val="21"/>
          <w:lang w:val="en-US" w:eastAsia="zh-CN"/>
        </w:rPr>
        <w:t xml:space="preserve">” </w:t>
      </w:r>
      <w:r w:rsidRPr="00772B52">
        <w:rPr>
          <w:rFonts w:ascii="Times New Roman" w:eastAsia="Malgun Gothic" w:hAnsi="Times New Roman"/>
          <w:sz w:val="21"/>
          <w:szCs w:val="21"/>
          <w:lang w:val="en-US" w:eastAsia="zh-CN"/>
        </w:rPr>
        <w:t xml:space="preserve">now only cover EN-DC UE reporting. </w:t>
      </w:r>
      <w:r w:rsidRPr="00772B52">
        <w:rPr>
          <w:rFonts w:ascii="Times New Roman" w:eastAsia="Malgun Gothic" w:hAnsi="Times New Roman"/>
          <w:sz w:val="21"/>
          <w:szCs w:val="21"/>
          <w:highlight w:val="green"/>
          <w:lang w:val="en-US" w:eastAsia="zh-CN"/>
        </w:rPr>
        <w:t>RAN4 would like to ask RAN2 to update this signaling description to cover NE-DC reporting</w:t>
      </w:r>
      <w:r w:rsidRPr="00772B52">
        <w:rPr>
          <w:rFonts w:ascii="Times New Roman" w:eastAsia="Malgun Gothic" w:hAnsi="Times New Roman"/>
          <w:sz w:val="21"/>
          <w:szCs w:val="21"/>
          <w:lang w:val="en-US" w:eastAsia="zh-CN"/>
        </w:rPr>
        <w:t>.</w:t>
      </w:r>
    </w:p>
    <w:p w14:paraId="0BABECC8" w14:textId="20A26578" w:rsidR="007A7FE3" w:rsidRPr="00772B52" w:rsidRDefault="007A7FE3" w:rsidP="007A7FE3">
      <w:pPr>
        <w:spacing w:beforeLines="50" w:before="120"/>
        <w:rPr>
          <w:sz w:val="21"/>
          <w:szCs w:val="21"/>
        </w:rPr>
      </w:pPr>
    </w:p>
    <w:p w14:paraId="11466C82" w14:textId="77777777" w:rsidR="007A7FE3" w:rsidRPr="00772B52" w:rsidRDefault="007A7FE3" w:rsidP="007A7FE3">
      <w:pPr>
        <w:pStyle w:val="TAL"/>
        <w:pBdr>
          <w:top w:val="single" w:sz="4" w:space="1" w:color="auto"/>
          <w:left w:val="single" w:sz="4" w:space="4" w:color="auto"/>
          <w:bottom w:val="single" w:sz="4" w:space="1" w:color="auto"/>
          <w:right w:val="single" w:sz="4" w:space="4" w:color="auto"/>
        </w:pBdr>
        <w:rPr>
          <w:b/>
          <w:i/>
          <w:sz w:val="21"/>
          <w:szCs w:val="21"/>
        </w:rPr>
      </w:pPr>
      <w:bookmarkStart w:id="7" w:name="_Hlk149659351"/>
      <w:proofErr w:type="spellStart"/>
      <w:r w:rsidRPr="00772B52">
        <w:rPr>
          <w:b/>
          <w:i/>
          <w:sz w:val="21"/>
          <w:szCs w:val="21"/>
        </w:rPr>
        <w:t>asyncIntraBandENDC</w:t>
      </w:r>
      <w:proofErr w:type="spellEnd"/>
    </w:p>
    <w:bookmarkEnd w:id="7"/>
    <w:p w14:paraId="55BD684E" w14:textId="733F3D76" w:rsidR="007A7FE3" w:rsidRDefault="007A7FE3" w:rsidP="007A7FE3">
      <w:pPr>
        <w:pStyle w:val="TAL"/>
        <w:pBdr>
          <w:top w:val="single" w:sz="4" w:space="1" w:color="auto"/>
          <w:left w:val="single" w:sz="4" w:space="4" w:color="auto"/>
          <w:bottom w:val="single" w:sz="4" w:space="1" w:color="auto"/>
          <w:right w:val="single" w:sz="4" w:space="4" w:color="auto"/>
        </w:pBdr>
        <w:rPr>
          <w:sz w:val="21"/>
          <w:szCs w:val="21"/>
        </w:rPr>
      </w:pPr>
      <w:r w:rsidRPr="00772B52">
        <w:rPr>
          <w:sz w:val="21"/>
          <w:szCs w:val="21"/>
        </w:rPr>
        <w:t xml:space="preserve">Indicates whether the UE supports asynchronous </w:t>
      </w:r>
      <w:r w:rsidRPr="00772B52">
        <w:rPr>
          <w:sz w:val="21"/>
          <w:szCs w:val="21"/>
          <w:highlight w:val="green"/>
        </w:rPr>
        <w:t>FDD-FDD</w:t>
      </w:r>
      <w:r w:rsidRPr="00772B52">
        <w:rPr>
          <w:sz w:val="21"/>
          <w:szCs w:val="21"/>
        </w:rPr>
        <w:t xml:space="preserve"> intra-band (NG)EN-DC with MRTD and MTTD as specified in clause 7.5 and 7.6 of TS 38.133 [5]. If asynchronous FDD-FDD intra-band (NG)EN-DC is not supported, the UE supports only synchronous FDD-FDD intra-band (NG)EN-DC.</w:t>
      </w:r>
    </w:p>
    <w:p w14:paraId="5C25D5E5" w14:textId="77777777" w:rsidR="007A7C15" w:rsidRPr="00772B52" w:rsidRDefault="007A7C15" w:rsidP="007A7FE3">
      <w:pPr>
        <w:pStyle w:val="TAL"/>
        <w:pBdr>
          <w:top w:val="single" w:sz="4" w:space="1" w:color="auto"/>
          <w:left w:val="single" w:sz="4" w:space="4" w:color="auto"/>
          <w:bottom w:val="single" w:sz="4" w:space="1" w:color="auto"/>
          <w:right w:val="single" w:sz="4" w:space="4" w:color="auto"/>
        </w:pBdr>
        <w:rPr>
          <w:sz w:val="21"/>
          <w:szCs w:val="21"/>
        </w:rPr>
      </w:pPr>
    </w:p>
    <w:p w14:paraId="4340C4BC" w14:textId="77777777" w:rsidR="007A7FE3" w:rsidRPr="00772B52" w:rsidRDefault="007A7FE3" w:rsidP="007A7FE3">
      <w:pPr>
        <w:pStyle w:val="TAL"/>
        <w:pBdr>
          <w:top w:val="single" w:sz="4" w:space="1" w:color="auto"/>
          <w:left w:val="single" w:sz="4" w:space="4" w:color="auto"/>
          <w:bottom w:val="single" w:sz="4" w:space="1" w:color="auto"/>
          <w:right w:val="single" w:sz="4" w:space="4" w:color="auto"/>
        </w:pBdr>
        <w:rPr>
          <w:sz w:val="21"/>
          <w:szCs w:val="21"/>
        </w:rPr>
      </w:pPr>
      <w:r w:rsidRPr="00772B52">
        <w:rPr>
          <w:b/>
          <w:bCs/>
          <w:i/>
          <w:iCs/>
          <w:sz w:val="21"/>
          <w:szCs w:val="21"/>
        </w:rPr>
        <w:t>interBandMRDC-WithOverlapDL-Bands-r16</w:t>
      </w:r>
    </w:p>
    <w:p w14:paraId="03755ABD" w14:textId="26C829F4" w:rsidR="007A7FE3" w:rsidRPr="00772B52" w:rsidRDefault="007A7FE3" w:rsidP="007A7FE3">
      <w:pPr>
        <w:pBdr>
          <w:top w:val="single" w:sz="4" w:space="1" w:color="auto"/>
          <w:left w:val="single" w:sz="4" w:space="4" w:color="auto"/>
          <w:bottom w:val="single" w:sz="4" w:space="1" w:color="auto"/>
          <w:right w:val="single" w:sz="4" w:space="4" w:color="auto"/>
        </w:pBdr>
        <w:spacing w:beforeLines="50" w:before="120"/>
        <w:rPr>
          <w:sz w:val="21"/>
          <w:szCs w:val="21"/>
          <w:lang w:eastAsia="en-US"/>
        </w:rPr>
      </w:pPr>
      <w:r w:rsidRPr="00772B52">
        <w:rPr>
          <w:sz w:val="21"/>
          <w:szCs w:val="21"/>
          <w:lang w:eastAsia="en-US"/>
        </w:rPr>
        <w:t xml:space="preserve">Indicates the UE supports </w:t>
      </w:r>
      <w:r w:rsidRPr="00772B52">
        <w:rPr>
          <w:sz w:val="21"/>
          <w:szCs w:val="21"/>
          <w:highlight w:val="green"/>
          <w:lang w:eastAsia="en-US"/>
        </w:rPr>
        <w:t>FDD-FDD or TDD-TDD</w:t>
      </w:r>
      <w:r w:rsidRPr="00772B52">
        <w:rPr>
          <w:sz w:val="21"/>
          <w:szCs w:val="21"/>
          <w:lang w:eastAsia="en-US"/>
        </w:rPr>
        <w:t xml:space="preserve"> inter-band (NG)EN-DC/NE-DC operation with overlapping or partially overlapping DL bands with an (NG)EN-DC/NE-DC MRTD according to clause 7.6.2/7.6.5 in 38.133 [5] and inter-band RF requirements (</w:t>
      </w:r>
      <w:proofErr w:type="spellStart"/>
      <w:r w:rsidRPr="00772B52">
        <w:rPr>
          <w:sz w:val="21"/>
          <w:szCs w:val="21"/>
          <w:lang w:eastAsia="en-US"/>
        </w:rPr>
        <w:t>i.e</w:t>
      </w:r>
      <w:proofErr w:type="spellEnd"/>
      <w:r w:rsidRPr="00772B52">
        <w:rPr>
          <w:sz w:val="21"/>
          <w:szCs w:val="21"/>
          <w:lang w:eastAsia="en-US"/>
        </w:rPr>
        <w:t xml:space="preserve"> Type 2 UE). If the capability is not reported, the UE supports FDD-FDD or TDD-TDD inter-band operation with overlapping or partially DL bands with (NG)EN-DC/NE-DC MRTD&lt;3us according to clause 7.6.3 in 38.133 [5] and intra-band RF requirements (i.e. Type 1 UE).</w:t>
      </w:r>
    </w:p>
    <w:p w14:paraId="328BA01D" w14:textId="70022973" w:rsidR="007A7C15" w:rsidRPr="00772B52" w:rsidRDefault="007A7C15" w:rsidP="007A7C15">
      <w:pPr>
        <w:spacing w:beforeLines="50" w:before="120"/>
        <w:rPr>
          <w:sz w:val="21"/>
          <w:szCs w:val="21"/>
        </w:rPr>
      </w:pPr>
      <w:r w:rsidRPr="00772B52">
        <w:rPr>
          <w:rFonts w:hint="eastAsia"/>
          <w:sz w:val="21"/>
          <w:szCs w:val="21"/>
        </w:rPr>
        <w:t>C</w:t>
      </w:r>
      <w:r w:rsidRPr="00772B52">
        <w:rPr>
          <w:sz w:val="21"/>
          <w:szCs w:val="21"/>
        </w:rPr>
        <w:t xml:space="preserve">urrently, </w:t>
      </w:r>
      <w:proofErr w:type="spellStart"/>
      <w:r w:rsidRPr="00772B52">
        <w:rPr>
          <w:sz w:val="21"/>
          <w:szCs w:val="21"/>
        </w:rPr>
        <w:t>asyncIntraBandENDC</w:t>
      </w:r>
      <w:proofErr w:type="spellEnd"/>
      <w:r w:rsidRPr="00772B52">
        <w:rPr>
          <w:sz w:val="21"/>
          <w:szCs w:val="21"/>
        </w:rPr>
        <w:t xml:space="preserve"> is for FDD-FDD only, while</w:t>
      </w:r>
      <w:r>
        <w:rPr>
          <w:sz w:val="21"/>
          <w:szCs w:val="21"/>
        </w:rPr>
        <w:t xml:space="preserve"> </w:t>
      </w:r>
      <w:r w:rsidRPr="00772B52">
        <w:rPr>
          <w:sz w:val="21"/>
          <w:szCs w:val="21"/>
        </w:rPr>
        <w:t>the interBandMRDC-WithOverlapDL-Bands-r16 covers both FDD-FDD and TDD-TDD</w:t>
      </w:r>
      <w:r>
        <w:rPr>
          <w:sz w:val="21"/>
          <w:szCs w:val="21"/>
        </w:rPr>
        <w:t>.</w:t>
      </w:r>
    </w:p>
    <w:p w14:paraId="6B06259A" w14:textId="111B65D8" w:rsidR="004C5199" w:rsidRPr="00772B52" w:rsidRDefault="00605B4A" w:rsidP="007A7FE3">
      <w:pPr>
        <w:rPr>
          <w:sz w:val="21"/>
          <w:szCs w:val="21"/>
        </w:rPr>
      </w:pPr>
      <w:r w:rsidRPr="00772B52">
        <w:rPr>
          <w:sz w:val="21"/>
          <w:szCs w:val="21"/>
        </w:rPr>
        <w:t>Based on previous agreements in RAN4, for inter-band EN-DC with overlapping DL bands</w:t>
      </w:r>
      <w:r w:rsidR="00EF5349" w:rsidRPr="00772B52">
        <w:rPr>
          <w:sz w:val="21"/>
          <w:szCs w:val="21"/>
        </w:rPr>
        <w:t xml:space="preserve"> or intra-band co-located EN-DC</w:t>
      </w:r>
      <w:r w:rsidRPr="00772B52">
        <w:rPr>
          <w:sz w:val="21"/>
          <w:szCs w:val="21"/>
        </w:rPr>
        <w:t xml:space="preserve">, </w:t>
      </w:r>
      <w:proofErr w:type="spellStart"/>
      <w:r w:rsidRPr="00772B52">
        <w:rPr>
          <w:sz w:val="21"/>
          <w:szCs w:val="21"/>
        </w:rPr>
        <w:t>asyncIntraBandENDC</w:t>
      </w:r>
      <w:proofErr w:type="spellEnd"/>
      <w:r w:rsidRPr="00772B52">
        <w:rPr>
          <w:sz w:val="21"/>
          <w:szCs w:val="21"/>
        </w:rPr>
        <w:t xml:space="preserve"> cannot apply for TDD-TDD case, where only sync operation is assumed. </w:t>
      </w:r>
      <w:r w:rsidR="004C5199" w:rsidRPr="00772B52">
        <w:rPr>
          <w:sz w:val="21"/>
          <w:szCs w:val="21"/>
        </w:rPr>
        <w:t xml:space="preserve">The same logic can apply for NE-DC. </w:t>
      </w:r>
      <w:r w:rsidRPr="00772B52">
        <w:rPr>
          <w:sz w:val="21"/>
          <w:szCs w:val="21"/>
        </w:rPr>
        <w:t>The requirements of TDD-TDD case are independent from whether UE indicates support of ‘</w:t>
      </w:r>
      <w:proofErr w:type="spellStart"/>
      <w:r w:rsidRPr="00772B52">
        <w:rPr>
          <w:sz w:val="21"/>
          <w:szCs w:val="21"/>
        </w:rPr>
        <w:t>asyncIntraBandENDC</w:t>
      </w:r>
      <w:proofErr w:type="spellEnd"/>
      <w:r w:rsidRPr="00772B52">
        <w:rPr>
          <w:sz w:val="21"/>
          <w:szCs w:val="21"/>
        </w:rPr>
        <w:t xml:space="preserve">’. </w:t>
      </w:r>
    </w:p>
    <w:p w14:paraId="33FE3A88" w14:textId="05D7D0D1" w:rsidR="00621C26" w:rsidRPr="00772B52" w:rsidRDefault="00621C26" w:rsidP="00621C26">
      <w:pPr>
        <w:rPr>
          <w:sz w:val="21"/>
          <w:szCs w:val="21"/>
        </w:rPr>
      </w:pPr>
      <w:r>
        <w:rPr>
          <w:sz w:val="21"/>
          <w:szCs w:val="21"/>
        </w:rPr>
        <w:t>W</w:t>
      </w:r>
      <w:r w:rsidRPr="00772B52">
        <w:rPr>
          <w:sz w:val="21"/>
          <w:szCs w:val="21"/>
        </w:rPr>
        <w:t xml:space="preserve">e propose the updates for MTTD and MRTD requirements </w:t>
      </w:r>
      <w:r>
        <w:rPr>
          <w:rFonts w:hint="eastAsia"/>
          <w:sz w:val="21"/>
          <w:szCs w:val="21"/>
        </w:rPr>
        <w:t>of</w:t>
      </w:r>
      <w:r>
        <w:rPr>
          <w:sz w:val="21"/>
          <w:szCs w:val="21"/>
        </w:rPr>
        <w:t xml:space="preserve"> </w:t>
      </w:r>
      <w:r>
        <w:rPr>
          <w:rFonts w:hint="eastAsia"/>
          <w:sz w:val="21"/>
          <w:szCs w:val="21"/>
        </w:rPr>
        <w:t>TDD-TDD</w:t>
      </w:r>
      <w:r>
        <w:rPr>
          <w:sz w:val="21"/>
          <w:szCs w:val="21"/>
        </w:rPr>
        <w:t xml:space="preserve"> </w:t>
      </w:r>
      <w:r w:rsidR="00F3657D">
        <w:rPr>
          <w:rFonts w:hint="eastAsia"/>
          <w:sz w:val="21"/>
          <w:szCs w:val="21"/>
        </w:rPr>
        <w:t>NE-DC</w:t>
      </w:r>
      <w:r w:rsidR="00F3657D">
        <w:rPr>
          <w:sz w:val="21"/>
          <w:szCs w:val="21"/>
        </w:rPr>
        <w:t xml:space="preserve"> </w:t>
      </w:r>
      <w:r w:rsidRPr="00772B52">
        <w:rPr>
          <w:sz w:val="21"/>
          <w:szCs w:val="21"/>
        </w:rPr>
        <w:t xml:space="preserve">based on the endorsed CR R4-2317400. </w:t>
      </w:r>
    </w:p>
    <w:p w14:paraId="5C3B9F25" w14:textId="77777777" w:rsidR="007A7C15" w:rsidRDefault="007A7C15" w:rsidP="00DB3568">
      <w:pPr>
        <w:rPr>
          <w:sz w:val="21"/>
          <w:szCs w:val="21"/>
        </w:rPr>
      </w:pPr>
      <w:r>
        <w:rPr>
          <w:sz w:val="21"/>
          <w:szCs w:val="21"/>
        </w:rPr>
        <w:t xml:space="preserve">Thus, to align with </w:t>
      </w:r>
      <w:r w:rsidR="00F3657D">
        <w:rPr>
          <w:rFonts w:hint="eastAsia"/>
          <w:sz w:val="21"/>
          <w:szCs w:val="21"/>
        </w:rPr>
        <w:t>current</w:t>
      </w:r>
      <w:r w:rsidR="00F3657D">
        <w:rPr>
          <w:sz w:val="21"/>
          <w:szCs w:val="21"/>
        </w:rPr>
        <w:t xml:space="preserve"> </w:t>
      </w:r>
      <w:r w:rsidR="00F3657D">
        <w:rPr>
          <w:rFonts w:hint="eastAsia"/>
          <w:sz w:val="21"/>
          <w:szCs w:val="21"/>
        </w:rPr>
        <w:t>endorsed</w:t>
      </w:r>
      <w:r w:rsidR="00F3657D">
        <w:rPr>
          <w:sz w:val="21"/>
          <w:szCs w:val="21"/>
        </w:rPr>
        <w:t xml:space="preserve"> CR</w:t>
      </w:r>
      <w:r w:rsidR="00F3657D">
        <w:rPr>
          <w:rFonts w:hint="eastAsia"/>
          <w:sz w:val="21"/>
          <w:szCs w:val="21"/>
        </w:rPr>
        <w:t>,</w:t>
      </w:r>
      <w:r w:rsidR="00F3657D">
        <w:rPr>
          <w:sz w:val="21"/>
          <w:szCs w:val="21"/>
        </w:rPr>
        <w:t xml:space="preserve"> t</w:t>
      </w:r>
      <w:r w:rsidR="00DB3568" w:rsidRPr="00772B52">
        <w:rPr>
          <w:sz w:val="21"/>
          <w:szCs w:val="21"/>
        </w:rPr>
        <w:t>he capability ‘</w:t>
      </w:r>
      <w:proofErr w:type="spellStart"/>
      <w:r w:rsidR="00DB3568" w:rsidRPr="00772B52">
        <w:rPr>
          <w:sz w:val="21"/>
          <w:szCs w:val="21"/>
        </w:rPr>
        <w:t>asyncIntraBandENDC</w:t>
      </w:r>
      <w:proofErr w:type="spellEnd"/>
      <w:r w:rsidR="00DB3568" w:rsidRPr="00772B52">
        <w:rPr>
          <w:sz w:val="21"/>
          <w:szCs w:val="21"/>
        </w:rPr>
        <w:t>’ can only apply for cases including</w:t>
      </w:r>
      <w:r w:rsidR="00DB3568" w:rsidRPr="00772B52">
        <w:rPr>
          <w:rFonts w:hint="eastAsia"/>
          <w:sz w:val="21"/>
          <w:szCs w:val="21"/>
        </w:rPr>
        <w:t>:</w:t>
      </w:r>
      <w:r w:rsidR="00DB3568" w:rsidRPr="00772B52">
        <w:rPr>
          <w:sz w:val="21"/>
          <w:szCs w:val="21"/>
        </w:rPr>
        <w:t xml:space="preserve"> </w:t>
      </w:r>
    </w:p>
    <w:p w14:paraId="30E43751" w14:textId="458D63D4" w:rsidR="00F3657D" w:rsidRDefault="00DB3568" w:rsidP="00DB3568">
      <w:pPr>
        <w:rPr>
          <w:sz w:val="21"/>
          <w:szCs w:val="21"/>
        </w:rPr>
      </w:pPr>
      <w:r w:rsidRPr="00772B52">
        <w:rPr>
          <w:rFonts w:hint="eastAsia"/>
          <w:sz w:val="21"/>
          <w:szCs w:val="21"/>
        </w:rPr>
        <w:t>1)</w:t>
      </w:r>
      <w:r w:rsidRPr="00772B52">
        <w:rPr>
          <w:sz w:val="21"/>
          <w:szCs w:val="21"/>
        </w:rPr>
        <w:t xml:space="preserve"> FDD- FDD intra-band co-located EN-</w:t>
      </w:r>
      <w:proofErr w:type="gramStart"/>
      <w:r w:rsidRPr="00772B52">
        <w:rPr>
          <w:sz w:val="21"/>
          <w:szCs w:val="21"/>
        </w:rPr>
        <w:t>DC</w:t>
      </w:r>
      <w:r w:rsidRPr="00772B52">
        <w:rPr>
          <w:rFonts w:hint="eastAsia"/>
          <w:sz w:val="21"/>
          <w:szCs w:val="21"/>
        </w:rPr>
        <w:t>,</w:t>
      </w:r>
      <w:r w:rsidRPr="00772B52">
        <w:rPr>
          <w:sz w:val="21"/>
          <w:szCs w:val="21"/>
        </w:rPr>
        <w:t xml:space="preserve">  and</w:t>
      </w:r>
      <w:proofErr w:type="gramEnd"/>
      <w:r w:rsidRPr="00772B52">
        <w:rPr>
          <w:sz w:val="21"/>
          <w:szCs w:val="21"/>
        </w:rPr>
        <w:t xml:space="preserve"> </w:t>
      </w:r>
    </w:p>
    <w:p w14:paraId="171BF599" w14:textId="3B0F14E7" w:rsidR="00DB3568" w:rsidRPr="00772B52" w:rsidRDefault="00DB3568" w:rsidP="00DB3568">
      <w:pPr>
        <w:rPr>
          <w:sz w:val="21"/>
          <w:szCs w:val="21"/>
        </w:rPr>
      </w:pPr>
      <w:r w:rsidRPr="00772B52">
        <w:rPr>
          <w:sz w:val="21"/>
          <w:szCs w:val="21"/>
        </w:rPr>
        <w:lastRenderedPageBreak/>
        <w:t>2) FDD-</w:t>
      </w:r>
      <w:r w:rsidR="00F3657D">
        <w:rPr>
          <w:sz w:val="21"/>
          <w:szCs w:val="21"/>
        </w:rPr>
        <w:t xml:space="preserve"> </w:t>
      </w:r>
      <w:r w:rsidRPr="00772B52">
        <w:rPr>
          <w:sz w:val="21"/>
          <w:szCs w:val="21"/>
        </w:rPr>
        <w:t>FDD inter-band EN-DC/NE-DC with overlapping DL bands operating in co-located and non-co-located deployment.</w:t>
      </w:r>
    </w:p>
    <w:p w14:paraId="2512564D" w14:textId="2F83455E" w:rsidR="00AA0E9D" w:rsidRPr="00772B52" w:rsidRDefault="00AA0E9D" w:rsidP="007A7FE3">
      <w:pPr>
        <w:rPr>
          <w:b/>
          <w:sz w:val="21"/>
          <w:szCs w:val="21"/>
        </w:rPr>
      </w:pPr>
      <w:r w:rsidRPr="00772B52">
        <w:rPr>
          <w:b/>
          <w:sz w:val="21"/>
          <w:szCs w:val="21"/>
        </w:rPr>
        <w:t xml:space="preserve">Observation 1: The capability of </w:t>
      </w:r>
      <w:proofErr w:type="spellStart"/>
      <w:r w:rsidRPr="00772B52">
        <w:rPr>
          <w:b/>
          <w:i/>
          <w:sz w:val="21"/>
          <w:szCs w:val="21"/>
        </w:rPr>
        <w:t>asyncIntraBandENDC</w:t>
      </w:r>
      <w:proofErr w:type="spellEnd"/>
      <w:r w:rsidRPr="00772B52">
        <w:rPr>
          <w:b/>
          <w:sz w:val="21"/>
          <w:szCs w:val="21"/>
        </w:rPr>
        <w:t xml:space="preserve"> can be extended to </w:t>
      </w:r>
      <w:r w:rsidR="007A7C15" w:rsidRPr="007A7C15">
        <w:rPr>
          <w:b/>
          <w:sz w:val="21"/>
          <w:szCs w:val="21"/>
        </w:rPr>
        <w:t>FDD- FDD inter-band NE-DC with overlapping DL bands</w:t>
      </w:r>
      <w:r w:rsidRPr="007A7C15">
        <w:rPr>
          <w:b/>
          <w:sz w:val="21"/>
          <w:szCs w:val="21"/>
        </w:rPr>
        <w:t>.</w:t>
      </w:r>
    </w:p>
    <w:p w14:paraId="2C7CE7F5" w14:textId="458BDA4E" w:rsidR="00E34C89" w:rsidRDefault="00617608" w:rsidP="007A7FE3">
      <w:pPr>
        <w:rPr>
          <w:sz w:val="21"/>
          <w:szCs w:val="21"/>
        </w:rPr>
      </w:pPr>
      <w:r w:rsidRPr="00772B52">
        <w:rPr>
          <w:rFonts w:hint="eastAsia"/>
          <w:b/>
          <w:sz w:val="21"/>
          <w:szCs w:val="21"/>
        </w:rPr>
        <w:t>Observation</w:t>
      </w:r>
      <w:r w:rsidRPr="00772B52">
        <w:rPr>
          <w:b/>
          <w:sz w:val="21"/>
          <w:szCs w:val="21"/>
        </w:rPr>
        <w:t xml:space="preserve"> </w:t>
      </w:r>
      <w:r w:rsidR="00E34C89">
        <w:rPr>
          <w:rFonts w:hint="eastAsia"/>
          <w:b/>
          <w:sz w:val="21"/>
          <w:szCs w:val="21"/>
        </w:rPr>
        <w:t>2</w:t>
      </w:r>
      <w:r w:rsidRPr="00772B52">
        <w:rPr>
          <w:rFonts w:hint="eastAsia"/>
          <w:b/>
          <w:sz w:val="21"/>
          <w:szCs w:val="21"/>
        </w:rPr>
        <w:t>:</w:t>
      </w:r>
      <w:r w:rsidRPr="00772B52">
        <w:rPr>
          <w:b/>
          <w:sz w:val="21"/>
          <w:szCs w:val="21"/>
        </w:rPr>
        <w:t xml:space="preserve"> </w:t>
      </w:r>
      <w:r w:rsidR="00605B4A" w:rsidRPr="00772B52">
        <w:rPr>
          <w:b/>
          <w:sz w:val="21"/>
          <w:szCs w:val="21"/>
        </w:rPr>
        <w:t>The capability ‘</w:t>
      </w:r>
      <w:proofErr w:type="spellStart"/>
      <w:r w:rsidRPr="00772B52">
        <w:rPr>
          <w:b/>
          <w:sz w:val="21"/>
          <w:szCs w:val="21"/>
        </w:rPr>
        <w:t>asyncIntraBandENDC</w:t>
      </w:r>
      <w:proofErr w:type="spellEnd"/>
      <w:r w:rsidR="00605B4A" w:rsidRPr="00772B52">
        <w:rPr>
          <w:b/>
          <w:sz w:val="21"/>
          <w:szCs w:val="21"/>
        </w:rPr>
        <w:t>’</w:t>
      </w:r>
      <w:r w:rsidRPr="00772B52">
        <w:rPr>
          <w:b/>
          <w:sz w:val="21"/>
          <w:szCs w:val="21"/>
        </w:rPr>
        <w:t xml:space="preserve"> can </w:t>
      </w:r>
      <w:r w:rsidR="00DA469B" w:rsidRPr="00772B52">
        <w:rPr>
          <w:rFonts w:hint="eastAsia"/>
          <w:b/>
          <w:sz w:val="21"/>
          <w:szCs w:val="21"/>
        </w:rPr>
        <w:t>only</w:t>
      </w:r>
      <w:r w:rsidR="00DA469B" w:rsidRPr="00772B52">
        <w:rPr>
          <w:b/>
          <w:sz w:val="21"/>
          <w:szCs w:val="21"/>
        </w:rPr>
        <w:t xml:space="preserve"> </w:t>
      </w:r>
      <w:r w:rsidRPr="00772B52">
        <w:rPr>
          <w:b/>
          <w:sz w:val="21"/>
          <w:szCs w:val="21"/>
        </w:rPr>
        <w:t xml:space="preserve">apply for </w:t>
      </w:r>
      <w:r w:rsidR="00A264D7" w:rsidRPr="00772B52">
        <w:rPr>
          <w:b/>
          <w:sz w:val="21"/>
          <w:szCs w:val="21"/>
        </w:rPr>
        <w:t>FDD</w:t>
      </w:r>
      <w:r w:rsidR="00AA0E9D" w:rsidRPr="00772B52">
        <w:rPr>
          <w:b/>
          <w:sz w:val="21"/>
          <w:szCs w:val="21"/>
        </w:rPr>
        <w:t>-</w:t>
      </w:r>
      <w:r w:rsidR="00A264D7" w:rsidRPr="00772B52">
        <w:rPr>
          <w:b/>
          <w:sz w:val="21"/>
          <w:szCs w:val="21"/>
        </w:rPr>
        <w:t>FDD</w:t>
      </w:r>
      <w:r w:rsidR="00DA469B" w:rsidRPr="00772B52">
        <w:rPr>
          <w:b/>
          <w:sz w:val="21"/>
          <w:szCs w:val="21"/>
        </w:rPr>
        <w:t xml:space="preserve"> </w:t>
      </w:r>
      <w:r w:rsidRPr="00772B52">
        <w:rPr>
          <w:b/>
          <w:sz w:val="21"/>
          <w:szCs w:val="21"/>
        </w:rPr>
        <w:t>intra-band</w:t>
      </w:r>
      <w:r w:rsidR="00DA469B" w:rsidRPr="00772B52">
        <w:rPr>
          <w:b/>
          <w:sz w:val="21"/>
          <w:szCs w:val="21"/>
        </w:rPr>
        <w:t xml:space="preserve"> co-located EN-DC and </w:t>
      </w:r>
      <w:r w:rsidR="00AA0E9D" w:rsidRPr="00772B52">
        <w:rPr>
          <w:b/>
          <w:sz w:val="21"/>
          <w:szCs w:val="21"/>
        </w:rPr>
        <w:t>FDD-FDD</w:t>
      </w:r>
      <w:r w:rsidR="00DA469B" w:rsidRPr="00772B52">
        <w:rPr>
          <w:b/>
          <w:sz w:val="21"/>
          <w:szCs w:val="21"/>
        </w:rPr>
        <w:t xml:space="preserve"> </w:t>
      </w:r>
      <w:r w:rsidRPr="00772B52">
        <w:rPr>
          <w:b/>
          <w:sz w:val="21"/>
          <w:szCs w:val="21"/>
        </w:rPr>
        <w:t>inter-band EN-DC/NE-DC</w:t>
      </w:r>
      <w:r w:rsidR="00A264D7" w:rsidRPr="00772B52">
        <w:rPr>
          <w:b/>
          <w:sz w:val="21"/>
          <w:szCs w:val="21"/>
        </w:rPr>
        <w:t xml:space="preserve"> </w:t>
      </w:r>
      <w:r w:rsidR="00A264D7" w:rsidRPr="00772B52">
        <w:rPr>
          <w:rFonts w:cs="v4.2.0"/>
          <w:b/>
          <w:sz w:val="21"/>
          <w:szCs w:val="21"/>
        </w:rPr>
        <w:t>with overlapping DL bands</w:t>
      </w:r>
      <w:r w:rsidR="00A264D7" w:rsidRPr="00772B52">
        <w:rPr>
          <w:b/>
          <w:sz w:val="21"/>
          <w:szCs w:val="21"/>
        </w:rPr>
        <w:t xml:space="preserve"> operation</w:t>
      </w:r>
      <w:r w:rsidR="00605B4A" w:rsidRPr="00772B52">
        <w:rPr>
          <w:b/>
          <w:sz w:val="21"/>
          <w:szCs w:val="21"/>
        </w:rPr>
        <w:t>.</w:t>
      </w:r>
      <w:r w:rsidR="00E34C89" w:rsidRPr="00E34C89">
        <w:rPr>
          <w:sz w:val="21"/>
          <w:szCs w:val="21"/>
        </w:rPr>
        <w:t xml:space="preserve"> </w:t>
      </w:r>
    </w:p>
    <w:p w14:paraId="2142A938" w14:textId="5608B763" w:rsidR="00E34C89" w:rsidRPr="007A7C15" w:rsidRDefault="007A7C15" w:rsidP="007A7FE3">
      <w:pPr>
        <w:rPr>
          <w:sz w:val="21"/>
          <w:szCs w:val="21"/>
        </w:rPr>
      </w:pPr>
      <w:r w:rsidRPr="00772B52">
        <w:rPr>
          <w:sz w:val="21"/>
          <w:szCs w:val="21"/>
        </w:rPr>
        <w:t>About whether to extend the capability to NEDC for inter-band case only, or intra-band case as well</w:t>
      </w:r>
      <w:r>
        <w:rPr>
          <w:sz w:val="21"/>
          <w:szCs w:val="21"/>
        </w:rPr>
        <w:t xml:space="preserve">, RAN4 needs to discuss. </w:t>
      </w:r>
      <w:r w:rsidRPr="00772B52">
        <w:rPr>
          <w:rFonts w:hint="eastAsia"/>
          <w:sz w:val="21"/>
          <w:szCs w:val="21"/>
        </w:rPr>
        <w:t>F</w:t>
      </w:r>
      <w:r w:rsidRPr="00772B52">
        <w:rPr>
          <w:sz w:val="21"/>
          <w:szCs w:val="21"/>
        </w:rPr>
        <w:t>o</w:t>
      </w:r>
      <w:r w:rsidRPr="00772B52">
        <w:rPr>
          <w:rFonts w:hint="eastAsia"/>
          <w:sz w:val="21"/>
          <w:szCs w:val="21"/>
        </w:rPr>
        <w:t>r</w:t>
      </w:r>
      <w:r w:rsidRPr="00772B52">
        <w:rPr>
          <w:sz w:val="21"/>
          <w:szCs w:val="21"/>
        </w:rPr>
        <w:t xml:space="preserve"> intra-band co-located N</w:t>
      </w:r>
      <w:r w:rsidRPr="00772B52">
        <w:rPr>
          <w:rFonts w:hint="eastAsia"/>
          <w:sz w:val="21"/>
          <w:szCs w:val="21"/>
        </w:rPr>
        <w:t>E</w:t>
      </w:r>
      <w:r w:rsidRPr="00772B52">
        <w:rPr>
          <w:sz w:val="21"/>
          <w:szCs w:val="21"/>
        </w:rPr>
        <w:t>-</w:t>
      </w:r>
      <w:proofErr w:type="spellStart"/>
      <w:proofErr w:type="gramStart"/>
      <w:r w:rsidRPr="00772B52">
        <w:rPr>
          <w:sz w:val="21"/>
          <w:szCs w:val="21"/>
        </w:rPr>
        <w:t>DC</w:t>
      </w:r>
      <w:r w:rsidRPr="00772B52">
        <w:rPr>
          <w:rFonts w:hint="eastAsia"/>
          <w:sz w:val="21"/>
          <w:szCs w:val="21"/>
        </w:rPr>
        <w:t>,</w:t>
      </w:r>
      <w:r>
        <w:rPr>
          <w:sz w:val="21"/>
          <w:szCs w:val="21"/>
        </w:rPr>
        <w:t>no</w:t>
      </w:r>
      <w:proofErr w:type="spellEnd"/>
      <w:proofErr w:type="gramEnd"/>
      <w:r w:rsidRPr="00772B52">
        <w:rPr>
          <w:sz w:val="21"/>
          <w:szCs w:val="21"/>
        </w:rPr>
        <w:t xml:space="preserve"> requirements of MTTD/MRTD for intra-band N</w:t>
      </w:r>
      <w:r>
        <w:rPr>
          <w:sz w:val="21"/>
          <w:szCs w:val="21"/>
        </w:rPr>
        <w:t>E</w:t>
      </w:r>
      <w:r w:rsidRPr="00772B52">
        <w:rPr>
          <w:sz w:val="21"/>
          <w:szCs w:val="21"/>
        </w:rPr>
        <w:t xml:space="preserve">-DC </w:t>
      </w:r>
      <w:r>
        <w:rPr>
          <w:sz w:val="21"/>
          <w:szCs w:val="21"/>
        </w:rPr>
        <w:t>are defined</w:t>
      </w:r>
      <w:r w:rsidRPr="00772B52">
        <w:rPr>
          <w:sz w:val="21"/>
          <w:szCs w:val="21"/>
        </w:rPr>
        <w:t xml:space="preserve">. It may be subject to no such RF band combination of intra-band NE-DC. RAN4 can further </w:t>
      </w:r>
      <w:proofErr w:type="spellStart"/>
      <w:r w:rsidRPr="00772B52">
        <w:rPr>
          <w:sz w:val="21"/>
          <w:szCs w:val="21"/>
        </w:rPr>
        <w:t>comfirm</w:t>
      </w:r>
      <w:proofErr w:type="spellEnd"/>
      <w:r w:rsidRPr="00772B52">
        <w:rPr>
          <w:sz w:val="21"/>
          <w:szCs w:val="21"/>
        </w:rPr>
        <w:t xml:space="preserve"> whether to complete the requirement for intra-band NE-DC.</w:t>
      </w:r>
    </w:p>
    <w:p w14:paraId="07D53040" w14:textId="21BE1A06" w:rsidR="00E34C89" w:rsidRPr="007A7C15" w:rsidRDefault="00E34C89" w:rsidP="007A7FE3">
      <w:pPr>
        <w:rPr>
          <w:b/>
          <w:sz w:val="21"/>
          <w:szCs w:val="21"/>
        </w:rPr>
      </w:pPr>
      <w:r w:rsidRPr="007A7C15">
        <w:rPr>
          <w:rFonts w:hint="eastAsia"/>
          <w:b/>
          <w:sz w:val="21"/>
          <w:szCs w:val="21"/>
        </w:rPr>
        <w:t>Proposal</w:t>
      </w:r>
      <w:r w:rsidRPr="007A7C15">
        <w:rPr>
          <w:b/>
          <w:sz w:val="21"/>
          <w:szCs w:val="21"/>
        </w:rPr>
        <w:t xml:space="preserve"> </w:t>
      </w:r>
      <w:r w:rsidRPr="007A7C15">
        <w:rPr>
          <w:rFonts w:hint="eastAsia"/>
          <w:b/>
          <w:sz w:val="21"/>
          <w:szCs w:val="21"/>
        </w:rPr>
        <w:t>1</w:t>
      </w:r>
      <w:r w:rsidRPr="007A7C15">
        <w:rPr>
          <w:b/>
          <w:sz w:val="21"/>
          <w:szCs w:val="21"/>
        </w:rPr>
        <w:t>: RAN4 to discuss whether to define MTTD/MRTD requirements for intra-band NE-DC.</w:t>
      </w:r>
    </w:p>
    <w:p w14:paraId="4F434DFF" w14:textId="341C6B88" w:rsidR="00617608" w:rsidRPr="007A7C15" w:rsidRDefault="00E34C89" w:rsidP="007A7FE3">
      <w:pPr>
        <w:rPr>
          <w:b/>
          <w:sz w:val="21"/>
          <w:szCs w:val="21"/>
        </w:rPr>
      </w:pPr>
      <w:r w:rsidRPr="007A7C15">
        <w:rPr>
          <w:b/>
          <w:sz w:val="21"/>
          <w:szCs w:val="21"/>
        </w:rPr>
        <w:t xml:space="preserve">Proposal 2: RAN4 to discuss whether to extend the capability of </w:t>
      </w:r>
      <w:proofErr w:type="spellStart"/>
      <w:r w:rsidRPr="007A7C15">
        <w:rPr>
          <w:b/>
          <w:i/>
          <w:sz w:val="21"/>
          <w:szCs w:val="21"/>
        </w:rPr>
        <w:t>asyncIntraBandENDC</w:t>
      </w:r>
      <w:proofErr w:type="spellEnd"/>
      <w:r w:rsidRPr="007A7C15">
        <w:rPr>
          <w:b/>
          <w:sz w:val="21"/>
          <w:szCs w:val="21"/>
        </w:rPr>
        <w:t xml:space="preserve"> to NEDC for inter-band case only, or intra-band case as well</w:t>
      </w:r>
      <w:r w:rsidRPr="007A7C15">
        <w:rPr>
          <w:rFonts w:hint="eastAsia"/>
          <w:b/>
          <w:sz w:val="21"/>
          <w:szCs w:val="21"/>
        </w:rPr>
        <w:t>.</w:t>
      </w:r>
    </w:p>
    <w:p w14:paraId="41561DD8" w14:textId="7A16C176" w:rsidR="00E34C89" w:rsidRPr="00E34C89" w:rsidRDefault="00E34C89" w:rsidP="007A7FE3">
      <w:pPr>
        <w:rPr>
          <w:sz w:val="21"/>
          <w:szCs w:val="21"/>
        </w:rPr>
      </w:pPr>
      <w:r>
        <w:rPr>
          <w:sz w:val="21"/>
          <w:szCs w:val="21"/>
        </w:rPr>
        <w:t>In our view, the similar logic for TDD-TDD can be reused NE-DC. F</w:t>
      </w:r>
      <w:r w:rsidRPr="00E34C89">
        <w:rPr>
          <w:sz w:val="21"/>
          <w:szCs w:val="21"/>
        </w:rPr>
        <w:t>or intra-band co-located EN-DC or inter-band EN-DC/NE-DC with overlapping DL bands, only sync operation is assumed for TDD-TDD case. The capability ‘interBandMRDC-WithOverlapDL-Bands-r16’ can apply for FDD-FDD or TDD-TDD inter-band (NG)EN-DC/NE-DC operation with overlapping or partially overlapping DL bands.</w:t>
      </w:r>
    </w:p>
    <w:p w14:paraId="0FED1A95" w14:textId="1E7C52E3" w:rsidR="00E34C89" w:rsidRPr="00772B52" w:rsidRDefault="00E34C89" w:rsidP="00E34C89">
      <w:pPr>
        <w:rPr>
          <w:b/>
          <w:sz w:val="21"/>
          <w:szCs w:val="21"/>
        </w:rPr>
      </w:pPr>
      <w:r w:rsidRPr="00772B52">
        <w:rPr>
          <w:b/>
          <w:sz w:val="21"/>
          <w:szCs w:val="21"/>
        </w:rPr>
        <w:t xml:space="preserve">Observation </w:t>
      </w:r>
      <w:r>
        <w:rPr>
          <w:rFonts w:hint="eastAsia"/>
          <w:b/>
          <w:sz w:val="21"/>
          <w:szCs w:val="21"/>
        </w:rPr>
        <w:t>3</w:t>
      </w:r>
      <w:r w:rsidRPr="00772B52">
        <w:rPr>
          <w:b/>
          <w:sz w:val="21"/>
          <w:szCs w:val="21"/>
        </w:rPr>
        <w:t>: For intra-band co-located EN-DC or inter-band EN-DC/NE-DC with overlapping DL bands, only sync operation is assumed for TDD-TDD case.</w:t>
      </w:r>
    </w:p>
    <w:p w14:paraId="68B13215" w14:textId="77777777" w:rsidR="00E34C89" w:rsidRPr="00772B52" w:rsidRDefault="00E34C89" w:rsidP="00E34C89">
      <w:pPr>
        <w:rPr>
          <w:b/>
          <w:sz w:val="21"/>
          <w:szCs w:val="21"/>
        </w:rPr>
      </w:pPr>
      <w:proofErr w:type="spellStart"/>
      <w:r w:rsidRPr="00772B52">
        <w:rPr>
          <w:rFonts w:hint="eastAsia"/>
          <w:b/>
          <w:sz w:val="21"/>
          <w:szCs w:val="21"/>
        </w:rPr>
        <w:t>O</w:t>
      </w:r>
      <w:r w:rsidRPr="00772B52">
        <w:rPr>
          <w:b/>
          <w:sz w:val="21"/>
          <w:szCs w:val="21"/>
        </w:rPr>
        <w:t>bservatino</w:t>
      </w:r>
      <w:proofErr w:type="spellEnd"/>
      <w:r w:rsidRPr="00772B52">
        <w:rPr>
          <w:b/>
          <w:sz w:val="21"/>
          <w:szCs w:val="21"/>
        </w:rPr>
        <w:t xml:space="preserve"> 4: The capability ‘interBandMRDC-WithOverlapDL-Bands-r16’ can apply for FDD-FDD or TDD-TDD inter-band (NG)EN-DC/NE-DC operation with overlapping or partially overlapping DL bands.</w:t>
      </w:r>
    </w:p>
    <w:p w14:paraId="11554963" w14:textId="48125D69" w:rsidR="00E34C89" w:rsidRPr="004A28AC" w:rsidRDefault="007A7C15" w:rsidP="007A7FE3">
      <w:pPr>
        <w:rPr>
          <w:sz w:val="21"/>
          <w:szCs w:val="21"/>
        </w:rPr>
      </w:pPr>
      <w:r w:rsidRPr="004A28AC">
        <w:rPr>
          <w:sz w:val="21"/>
          <w:szCs w:val="21"/>
        </w:rPr>
        <w:t>We propose to complete TDD-TDD case for NE-DC, like EN-DC.</w:t>
      </w:r>
    </w:p>
    <w:p w14:paraId="2B538DD0" w14:textId="54400EDC" w:rsidR="00921DE3" w:rsidRPr="00E34C89" w:rsidRDefault="00D029EC" w:rsidP="00AA0E9D">
      <w:pPr>
        <w:rPr>
          <w:b/>
          <w:sz w:val="21"/>
          <w:szCs w:val="21"/>
        </w:rPr>
      </w:pPr>
      <w:r w:rsidRPr="00E34C89">
        <w:rPr>
          <w:rFonts w:hint="eastAsia"/>
          <w:b/>
          <w:sz w:val="21"/>
          <w:szCs w:val="21"/>
        </w:rPr>
        <w:t>P</w:t>
      </w:r>
      <w:r w:rsidRPr="00E34C89">
        <w:rPr>
          <w:b/>
          <w:sz w:val="21"/>
          <w:szCs w:val="21"/>
        </w:rPr>
        <w:t xml:space="preserve">roposal </w:t>
      </w:r>
      <w:r w:rsidR="00E34C89" w:rsidRPr="00E34C89">
        <w:rPr>
          <w:rFonts w:hint="eastAsia"/>
          <w:b/>
          <w:sz w:val="21"/>
          <w:szCs w:val="21"/>
        </w:rPr>
        <w:t>3</w:t>
      </w:r>
      <w:r w:rsidRPr="00E34C89">
        <w:rPr>
          <w:b/>
          <w:sz w:val="21"/>
          <w:szCs w:val="21"/>
        </w:rPr>
        <w:t>: Complete the requirements of MTTD</w:t>
      </w:r>
      <w:r w:rsidR="00E34C89" w:rsidRPr="00E34C89">
        <w:rPr>
          <w:rFonts w:hint="eastAsia"/>
          <w:b/>
          <w:sz w:val="21"/>
          <w:szCs w:val="21"/>
        </w:rPr>
        <w:t>/</w:t>
      </w:r>
      <w:r w:rsidRPr="00E34C89">
        <w:rPr>
          <w:b/>
          <w:sz w:val="21"/>
          <w:szCs w:val="21"/>
        </w:rPr>
        <w:t xml:space="preserve">MRTD for TDD-TDD inter-band </w:t>
      </w:r>
      <w:r w:rsidR="00E34C89" w:rsidRPr="00E34C89">
        <w:rPr>
          <w:rFonts w:hint="eastAsia"/>
          <w:b/>
          <w:sz w:val="21"/>
          <w:szCs w:val="21"/>
        </w:rPr>
        <w:t>sync</w:t>
      </w:r>
      <w:r w:rsidR="00E34C89" w:rsidRPr="00E34C89">
        <w:rPr>
          <w:b/>
          <w:sz w:val="21"/>
          <w:szCs w:val="21"/>
        </w:rPr>
        <w:t xml:space="preserve"> </w:t>
      </w:r>
      <w:r w:rsidRPr="00E34C89">
        <w:rPr>
          <w:b/>
          <w:sz w:val="21"/>
          <w:szCs w:val="21"/>
        </w:rPr>
        <w:t>NE-DC</w:t>
      </w:r>
      <w:r w:rsidR="00E34C89" w:rsidRPr="00E34C89">
        <w:rPr>
          <w:b/>
          <w:sz w:val="21"/>
          <w:szCs w:val="21"/>
        </w:rPr>
        <w:t xml:space="preserve"> with overlapping DL </w:t>
      </w:r>
      <w:proofErr w:type="gramStart"/>
      <w:r w:rsidR="00E34C89" w:rsidRPr="00E34C89">
        <w:rPr>
          <w:b/>
          <w:sz w:val="21"/>
          <w:szCs w:val="21"/>
        </w:rPr>
        <w:t xml:space="preserve">bands </w:t>
      </w:r>
      <w:r w:rsidRPr="00E34C89">
        <w:rPr>
          <w:b/>
          <w:sz w:val="21"/>
          <w:szCs w:val="21"/>
        </w:rPr>
        <w:t>.</w:t>
      </w:r>
      <w:proofErr w:type="gramEnd"/>
    </w:p>
    <w:p w14:paraId="121B23D8" w14:textId="77777777" w:rsidR="00D0573B" w:rsidRDefault="00D0573B">
      <w:pPr>
        <w:pStyle w:val="1"/>
      </w:pPr>
      <w:bookmarkStart w:id="8" w:name="_Toc130285439"/>
      <w:bookmarkStart w:id="9" w:name="_Toc130285440"/>
      <w:bookmarkStart w:id="10" w:name="_Toc130285457"/>
      <w:bookmarkStart w:id="11" w:name="_Toc130285467"/>
      <w:bookmarkStart w:id="12" w:name="_Toc130285468"/>
      <w:bookmarkStart w:id="13" w:name="_Toc130285478"/>
      <w:bookmarkStart w:id="14" w:name="_Toc130285494"/>
      <w:bookmarkStart w:id="15" w:name="_Toc130285510"/>
      <w:bookmarkStart w:id="16" w:name="_Toc130285526"/>
      <w:bookmarkStart w:id="17" w:name="_Toc130285542"/>
      <w:bookmarkStart w:id="18" w:name="_Toc130285552"/>
      <w:bookmarkStart w:id="19" w:name="_Toc130285553"/>
      <w:bookmarkStart w:id="20" w:name="_Toc130285554"/>
      <w:bookmarkStart w:id="21" w:name="_Toc130285555"/>
      <w:bookmarkStart w:id="22" w:name="_Toc130285556"/>
      <w:bookmarkStart w:id="23" w:name="_Toc130285557"/>
      <w:bookmarkStart w:id="24" w:name="_Toc130285558"/>
      <w:bookmarkStart w:id="25" w:name="_Toc130285566"/>
      <w:bookmarkStart w:id="26" w:name="_Toc130285567"/>
      <w:bookmarkStart w:id="27" w:name="_Toc130285568"/>
      <w:bookmarkStart w:id="28" w:name="_Toc130285569"/>
      <w:bookmarkStart w:id="29" w:name="_Toc130285570"/>
      <w:bookmarkStart w:id="30" w:name="_Toc130285571"/>
      <w:bookmarkStart w:id="31" w:name="_Toc130285572"/>
      <w:bookmarkStart w:id="32" w:name="_Toc130285573"/>
      <w:bookmarkStart w:id="33" w:name="_Toc130285574"/>
      <w:bookmarkStart w:id="34" w:name="_Toc130285575"/>
      <w:bookmarkStart w:id="35" w:name="_Toc130285588"/>
      <w:bookmarkStart w:id="36" w:name="_Toc130285589"/>
      <w:bookmarkStart w:id="37" w:name="_Toc130285590"/>
      <w:bookmarkStart w:id="38" w:name="_Toc130285591"/>
      <w:bookmarkStart w:id="39" w:name="_Toc130285592"/>
      <w:bookmarkStart w:id="40" w:name="_Toc130285593"/>
      <w:bookmarkStart w:id="41" w:name="_Toc130285594"/>
      <w:bookmarkStart w:id="42" w:name="_Toc130285595"/>
      <w:bookmarkStart w:id="43" w:name="_Toc130285596"/>
      <w:bookmarkStart w:id="44" w:name="_Toc130285597"/>
      <w:bookmarkStart w:id="45" w:name="_Toc130285598"/>
      <w:bookmarkStart w:id="46" w:name="_Toc130285599"/>
      <w:bookmarkStart w:id="47" w:name="_Toc130285600"/>
      <w:bookmarkStart w:id="48" w:name="_Toc130285601"/>
      <w:bookmarkStart w:id="49" w:name="_Toc130285602"/>
      <w:bookmarkStart w:id="50" w:name="_Toc130285603"/>
      <w:bookmarkStart w:id="51" w:name="_Toc130285604"/>
      <w:bookmarkStart w:id="52" w:name="_Toc130285605"/>
      <w:bookmarkStart w:id="53" w:name="_Toc130285606"/>
      <w:bookmarkStart w:id="54" w:name="_Toc130285607"/>
      <w:bookmarkStart w:id="55" w:name="_Toc130285608"/>
      <w:bookmarkStart w:id="56" w:name="_Toc130285609"/>
      <w:bookmarkStart w:id="57" w:name="_Toc130285610"/>
      <w:bookmarkStart w:id="58" w:name="_Toc130285611"/>
      <w:bookmarkStart w:id="59" w:name="_Toc130285612"/>
      <w:bookmarkStart w:id="60" w:name="_Toc130285613"/>
      <w:bookmarkStart w:id="61" w:name="_Toc130285614"/>
      <w:bookmarkStart w:id="62" w:name="_Toc130285615"/>
      <w:bookmarkStart w:id="63" w:name="_Toc122613820"/>
      <w:bookmarkStart w:id="64" w:name="_Toc122614375"/>
      <w:bookmarkStart w:id="65" w:name="_Toc122613821"/>
      <w:bookmarkStart w:id="66" w:name="_Toc122614376"/>
      <w:bookmarkStart w:id="67" w:name="_Toc122613822"/>
      <w:bookmarkStart w:id="68" w:name="_Toc122614377"/>
      <w:bookmarkStart w:id="69" w:name="_Toc122613823"/>
      <w:bookmarkStart w:id="70" w:name="_Toc122614378"/>
      <w:bookmarkStart w:id="71" w:name="_Toc122613824"/>
      <w:bookmarkStart w:id="72" w:name="_Toc122614379"/>
      <w:bookmarkStart w:id="73" w:name="_Toc122613825"/>
      <w:bookmarkStart w:id="74" w:name="_Toc122614380"/>
      <w:bookmarkStart w:id="75" w:name="_Toc122613826"/>
      <w:bookmarkStart w:id="76" w:name="_Toc122614381"/>
      <w:bookmarkStart w:id="77" w:name="_Toc122613827"/>
      <w:bookmarkStart w:id="78" w:name="_Toc122614382"/>
      <w:bookmarkStart w:id="79" w:name="_Toc122613828"/>
      <w:bookmarkStart w:id="80" w:name="_Toc122614383"/>
      <w:bookmarkStart w:id="81" w:name="_Toc122613829"/>
      <w:bookmarkStart w:id="82" w:name="_Toc122614384"/>
      <w:bookmarkStart w:id="83" w:name="_Toc122613830"/>
      <w:bookmarkStart w:id="84" w:name="_Toc122614385"/>
      <w:bookmarkStart w:id="85" w:name="_Toc122613831"/>
      <w:bookmarkStart w:id="86" w:name="_Toc122614386"/>
      <w:bookmarkStart w:id="87" w:name="_Toc122613832"/>
      <w:bookmarkStart w:id="88" w:name="_Toc122614387"/>
      <w:bookmarkStart w:id="89" w:name="_Toc122613833"/>
      <w:bookmarkStart w:id="90" w:name="_Toc122614388"/>
      <w:bookmarkStart w:id="91" w:name="_Toc122613834"/>
      <w:bookmarkStart w:id="92" w:name="_Toc1226143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t>Conclusion</w:t>
      </w:r>
    </w:p>
    <w:p w14:paraId="363AC2BA" w14:textId="717D307D" w:rsidR="00D0573B" w:rsidRPr="00772B52" w:rsidRDefault="005F5CD7">
      <w:pPr>
        <w:rPr>
          <w:sz w:val="21"/>
        </w:rPr>
      </w:pPr>
      <w:r>
        <w:rPr>
          <w:sz w:val="21"/>
        </w:rPr>
        <w:t>In this contribution, w</w:t>
      </w:r>
      <w:r w:rsidR="00D0573B" w:rsidRPr="00772B52">
        <w:rPr>
          <w:sz w:val="21"/>
        </w:rPr>
        <w:t xml:space="preserve">e have the following </w:t>
      </w:r>
      <w:r w:rsidR="00772B52" w:rsidRPr="00772B52">
        <w:rPr>
          <w:sz w:val="21"/>
        </w:rPr>
        <w:t>observations</w:t>
      </w:r>
      <w:r w:rsidR="00D0573B" w:rsidRPr="00772B52">
        <w:rPr>
          <w:sz w:val="21"/>
        </w:rPr>
        <w:t>:</w:t>
      </w:r>
    </w:p>
    <w:p w14:paraId="69EE0621" w14:textId="77777777" w:rsidR="004A28AC" w:rsidRPr="004A28AC" w:rsidRDefault="004A28AC" w:rsidP="004A28AC">
      <w:pPr>
        <w:rPr>
          <w:b/>
          <w:sz w:val="21"/>
          <w:szCs w:val="21"/>
        </w:rPr>
      </w:pPr>
      <w:r w:rsidRPr="004A28AC">
        <w:rPr>
          <w:b/>
          <w:sz w:val="21"/>
          <w:szCs w:val="21"/>
        </w:rPr>
        <w:t xml:space="preserve">Observation 1: The capability of </w:t>
      </w:r>
      <w:proofErr w:type="spellStart"/>
      <w:r w:rsidRPr="004A28AC">
        <w:rPr>
          <w:b/>
          <w:i/>
          <w:sz w:val="21"/>
          <w:szCs w:val="21"/>
        </w:rPr>
        <w:t>asyncIntraBandENDC</w:t>
      </w:r>
      <w:proofErr w:type="spellEnd"/>
      <w:r w:rsidRPr="004A28AC">
        <w:rPr>
          <w:b/>
          <w:sz w:val="21"/>
          <w:szCs w:val="21"/>
        </w:rPr>
        <w:t xml:space="preserve"> can be extended to FDD- FDD inter-band NE-DC with overlapping DL bands.</w:t>
      </w:r>
    </w:p>
    <w:p w14:paraId="598E413B" w14:textId="77777777" w:rsidR="004A28AC" w:rsidRPr="004A28AC" w:rsidRDefault="004A28AC" w:rsidP="004A28AC">
      <w:pPr>
        <w:rPr>
          <w:b/>
          <w:sz w:val="21"/>
          <w:szCs w:val="21"/>
        </w:rPr>
      </w:pPr>
      <w:r w:rsidRPr="004A28AC">
        <w:rPr>
          <w:rFonts w:hint="eastAsia"/>
          <w:b/>
          <w:sz w:val="21"/>
          <w:szCs w:val="21"/>
        </w:rPr>
        <w:t>Observation</w:t>
      </w:r>
      <w:r w:rsidRPr="004A28AC">
        <w:rPr>
          <w:b/>
          <w:sz w:val="21"/>
          <w:szCs w:val="21"/>
        </w:rPr>
        <w:t xml:space="preserve"> </w:t>
      </w:r>
      <w:r w:rsidRPr="004A28AC">
        <w:rPr>
          <w:rFonts w:hint="eastAsia"/>
          <w:b/>
          <w:sz w:val="21"/>
          <w:szCs w:val="21"/>
        </w:rPr>
        <w:t>2:</w:t>
      </w:r>
      <w:r w:rsidRPr="004A28AC">
        <w:rPr>
          <w:b/>
          <w:sz w:val="21"/>
          <w:szCs w:val="21"/>
        </w:rPr>
        <w:t xml:space="preserve"> The capability ‘</w:t>
      </w:r>
      <w:proofErr w:type="spellStart"/>
      <w:r w:rsidRPr="004A28AC">
        <w:rPr>
          <w:b/>
          <w:sz w:val="21"/>
          <w:szCs w:val="21"/>
        </w:rPr>
        <w:t>asyncIntraBandENDC</w:t>
      </w:r>
      <w:proofErr w:type="spellEnd"/>
      <w:r w:rsidRPr="004A28AC">
        <w:rPr>
          <w:b/>
          <w:sz w:val="21"/>
          <w:szCs w:val="21"/>
        </w:rPr>
        <w:t xml:space="preserve">’ can </w:t>
      </w:r>
      <w:r w:rsidRPr="004A28AC">
        <w:rPr>
          <w:rFonts w:hint="eastAsia"/>
          <w:b/>
          <w:sz w:val="21"/>
          <w:szCs w:val="21"/>
        </w:rPr>
        <w:t>only</w:t>
      </w:r>
      <w:r w:rsidRPr="004A28AC">
        <w:rPr>
          <w:b/>
          <w:sz w:val="21"/>
          <w:szCs w:val="21"/>
        </w:rPr>
        <w:t xml:space="preserve"> apply for FDD-FDD intra-band co-located EN-DC and FDD-FDD inter-band EN-DC/NE-DC </w:t>
      </w:r>
      <w:r w:rsidRPr="004A28AC">
        <w:rPr>
          <w:rFonts w:cs="v4.2.0"/>
          <w:b/>
          <w:sz w:val="21"/>
          <w:szCs w:val="21"/>
        </w:rPr>
        <w:t>with overlapping DL bands</w:t>
      </w:r>
      <w:r w:rsidRPr="004A28AC">
        <w:rPr>
          <w:b/>
          <w:sz w:val="21"/>
          <w:szCs w:val="21"/>
        </w:rPr>
        <w:t xml:space="preserve"> operation. </w:t>
      </w:r>
    </w:p>
    <w:p w14:paraId="2862A8D0" w14:textId="77777777" w:rsidR="004A28AC" w:rsidRPr="004A28AC" w:rsidRDefault="004A28AC" w:rsidP="004A28AC">
      <w:pPr>
        <w:rPr>
          <w:b/>
          <w:sz w:val="21"/>
          <w:szCs w:val="21"/>
        </w:rPr>
      </w:pPr>
      <w:r w:rsidRPr="004A28AC">
        <w:rPr>
          <w:b/>
          <w:sz w:val="21"/>
          <w:szCs w:val="21"/>
        </w:rPr>
        <w:t xml:space="preserve">Observation </w:t>
      </w:r>
      <w:r w:rsidRPr="004A28AC">
        <w:rPr>
          <w:rFonts w:hint="eastAsia"/>
          <w:b/>
          <w:sz w:val="21"/>
          <w:szCs w:val="21"/>
        </w:rPr>
        <w:t>3</w:t>
      </w:r>
      <w:r w:rsidRPr="004A28AC">
        <w:rPr>
          <w:b/>
          <w:sz w:val="21"/>
          <w:szCs w:val="21"/>
        </w:rPr>
        <w:t>: For intra-band co-located EN-DC or inter-band EN-DC/NE-DC with overlapping DL bands, only sync operation is assumed for TDD-TDD case.</w:t>
      </w:r>
    </w:p>
    <w:p w14:paraId="6BF2F640" w14:textId="4FB03398" w:rsidR="004A28AC" w:rsidRDefault="004A28AC" w:rsidP="004A28AC">
      <w:pPr>
        <w:rPr>
          <w:b/>
          <w:sz w:val="21"/>
          <w:szCs w:val="21"/>
        </w:rPr>
      </w:pPr>
      <w:proofErr w:type="spellStart"/>
      <w:r w:rsidRPr="004A28AC">
        <w:rPr>
          <w:rFonts w:hint="eastAsia"/>
          <w:b/>
          <w:sz w:val="21"/>
          <w:szCs w:val="21"/>
        </w:rPr>
        <w:t>O</w:t>
      </w:r>
      <w:r w:rsidRPr="004A28AC">
        <w:rPr>
          <w:b/>
          <w:sz w:val="21"/>
          <w:szCs w:val="21"/>
        </w:rPr>
        <w:t>bservatino</w:t>
      </w:r>
      <w:proofErr w:type="spellEnd"/>
      <w:r w:rsidRPr="004A28AC">
        <w:rPr>
          <w:b/>
          <w:sz w:val="21"/>
          <w:szCs w:val="21"/>
        </w:rPr>
        <w:t xml:space="preserve"> 4: The capability ‘interBandMRDC-WithOverlapDL-Bands-r16’ can apply for FDD-FDD or TDD-TDD inter-band (NG)EN-DC/NE-DC operation with overlapping or partially overlapping DL bands.</w:t>
      </w:r>
    </w:p>
    <w:p w14:paraId="35B8200B" w14:textId="7386AACA" w:rsidR="005F5CD7" w:rsidRDefault="005F5CD7" w:rsidP="004A28AC">
      <w:pPr>
        <w:rPr>
          <w:b/>
          <w:sz w:val="21"/>
          <w:szCs w:val="21"/>
        </w:rPr>
      </w:pPr>
      <w:r w:rsidRPr="00772B52">
        <w:rPr>
          <w:sz w:val="21"/>
        </w:rPr>
        <w:t xml:space="preserve">We </w:t>
      </w:r>
      <w:r>
        <w:rPr>
          <w:sz w:val="21"/>
        </w:rPr>
        <w:t xml:space="preserve">also </w:t>
      </w:r>
      <w:bookmarkStart w:id="93" w:name="_GoBack"/>
      <w:bookmarkEnd w:id="93"/>
      <w:r w:rsidRPr="00772B52">
        <w:rPr>
          <w:sz w:val="21"/>
        </w:rPr>
        <w:t>have the following proposals:</w:t>
      </w:r>
    </w:p>
    <w:p w14:paraId="1989365A" w14:textId="77777777" w:rsidR="005F5CD7" w:rsidRPr="004A28AC" w:rsidRDefault="005F5CD7" w:rsidP="005F5CD7">
      <w:pPr>
        <w:rPr>
          <w:b/>
          <w:sz w:val="21"/>
          <w:szCs w:val="21"/>
        </w:rPr>
      </w:pPr>
      <w:r w:rsidRPr="004A28AC">
        <w:rPr>
          <w:rFonts w:hint="eastAsia"/>
          <w:b/>
          <w:sz w:val="21"/>
          <w:szCs w:val="21"/>
        </w:rPr>
        <w:t>Proposal</w:t>
      </w:r>
      <w:r w:rsidRPr="004A28AC">
        <w:rPr>
          <w:b/>
          <w:sz w:val="21"/>
          <w:szCs w:val="21"/>
        </w:rPr>
        <w:t xml:space="preserve"> </w:t>
      </w:r>
      <w:r w:rsidRPr="004A28AC">
        <w:rPr>
          <w:rFonts w:hint="eastAsia"/>
          <w:b/>
          <w:sz w:val="21"/>
          <w:szCs w:val="21"/>
        </w:rPr>
        <w:t>1</w:t>
      </w:r>
      <w:r w:rsidRPr="004A28AC">
        <w:rPr>
          <w:b/>
          <w:sz w:val="21"/>
          <w:szCs w:val="21"/>
        </w:rPr>
        <w:t>: RAN4 to discuss whether to define MTTD/MRTD requirements for intra-band NE-DC.</w:t>
      </w:r>
    </w:p>
    <w:p w14:paraId="0FC1D15A" w14:textId="7944EBAE" w:rsidR="005F5CD7" w:rsidRPr="005F5CD7" w:rsidRDefault="005F5CD7" w:rsidP="004A28AC">
      <w:pPr>
        <w:rPr>
          <w:rFonts w:hint="eastAsia"/>
          <w:b/>
          <w:sz w:val="21"/>
          <w:szCs w:val="21"/>
        </w:rPr>
      </w:pPr>
      <w:r w:rsidRPr="004A28AC">
        <w:rPr>
          <w:b/>
          <w:sz w:val="21"/>
          <w:szCs w:val="21"/>
        </w:rPr>
        <w:lastRenderedPageBreak/>
        <w:t xml:space="preserve">Proposal 2: RAN4 to discuss whether to extend the capability of </w:t>
      </w:r>
      <w:proofErr w:type="spellStart"/>
      <w:r w:rsidRPr="004A28AC">
        <w:rPr>
          <w:b/>
          <w:i/>
          <w:sz w:val="21"/>
          <w:szCs w:val="21"/>
        </w:rPr>
        <w:t>asyncIntraBandENDC</w:t>
      </w:r>
      <w:proofErr w:type="spellEnd"/>
      <w:r w:rsidRPr="004A28AC">
        <w:rPr>
          <w:b/>
          <w:sz w:val="21"/>
          <w:szCs w:val="21"/>
        </w:rPr>
        <w:t xml:space="preserve"> to NEDC for inter-band case only, or intra-band case as well</w:t>
      </w:r>
      <w:r w:rsidRPr="004A28AC">
        <w:rPr>
          <w:rFonts w:hint="eastAsia"/>
          <w:b/>
          <w:sz w:val="21"/>
          <w:szCs w:val="21"/>
        </w:rPr>
        <w:t>.</w:t>
      </w:r>
    </w:p>
    <w:p w14:paraId="7F46B819" w14:textId="77777777" w:rsidR="007A7C15" w:rsidRPr="004A28AC" w:rsidRDefault="007A7C15" w:rsidP="007A7C15">
      <w:pPr>
        <w:rPr>
          <w:b/>
          <w:sz w:val="21"/>
          <w:szCs w:val="21"/>
        </w:rPr>
      </w:pPr>
      <w:bookmarkStart w:id="94" w:name="_In-sequence_SDU_delivery"/>
      <w:bookmarkEnd w:id="94"/>
      <w:r w:rsidRPr="004A28AC">
        <w:rPr>
          <w:rFonts w:hint="eastAsia"/>
          <w:b/>
          <w:sz w:val="21"/>
          <w:szCs w:val="21"/>
        </w:rPr>
        <w:t>P</w:t>
      </w:r>
      <w:r w:rsidRPr="004A28AC">
        <w:rPr>
          <w:b/>
          <w:sz w:val="21"/>
          <w:szCs w:val="21"/>
        </w:rPr>
        <w:t xml:space="preserve">roposal </w:t>
      </w:r>
      <w:r w:rsidRPr="004A28AC">
        <w:rPr>
          <w:rFonts w:hint="eastAsia"/>
          <w:b/>
          <w:sz w:val="21"/>
          <w:szCs w:val="21"/>
        </w:rPr>
        <w:t>3</w:t>
      </w:r>
      <w:r w:rsidRPr="004A28AC">
        <w:rPr>
          <w:b/>
          <w:sz w:val="21"/>
          <w:szCs w:val="21"/>
        </w:rPr>
        <w:t>: Complete the requirements of MTTD</w:t>
      </w:r>
      <w:r w:rsidRPr="004A28AC">
        <w:rPr>
          <w:rFonts w:hint="eastAsia"/>
          <w:b/>
          <w:sz w:val="21"/>
          <w:szCs w:val="21"/>
        </w:rPr>
        <w:t>/</w:t>
      </w:r>
      <w:r w:rsidRPr="004A28AC">
        <w:rPr>
          <w:b/>
          <w:sz w:val="21"/>
          <w:szCs w:val="21"/>
        </w:rPr>
        <w:t xml:space="preserve">MRTD for TDD-TDD inter-band </w:t>
      </w:r>
      <w:r w:rsidRPr="004A28AC">
        <w:rPr>
          <w:rFonts w:hint="eastAsia"/>
          <w:b/>
          <w:sz w:val="21"/>
          <w:szCs w:val="21"/>
        </w:rPr>
        <w:t>sync</w:t>
      </w:r>
      <w:r w:rsidRPr="004A28AC">
        <w:rPr>
          <w:b/>
          <w:sz w:val="21"/>
          <w:szCs w:val="21"/>
        </w:rPr>
        <w:t xml:space="preserve"> NE-DC with overlapping DL </w:t>
      </w:r>
      <w:proofErr w:type="gramStart"/>
      <w:r w:rsidRPr="004A28AC">
        <w:rPr>
          <w:b/>
          <w:sz w:val="21"/>
          <w:szCs w:val="21"/>
        </w:rPr>
        <w:t>bands .</w:t>
      </w:r>
      <w:proofErr w:type="gramEnd"/>
    </w:p>
    <w:p w14:paraId="22D6F2CF" w14:textId="5C052185" w:rsidR="00772B52" w:rsidRDefault="00772B52" w:rsidP="00772B52">
      <w:pPr>
        <w:pStyle w:val="1"/>
      </w:pPr>
      <w:r>
        <w:t>Reference</w:t>
      </w:r>
    </w:p>
    <w:p w14:paraId="69F6FEC8" w14:textId="45199317" w:rsidR="001170CE" w:rsidRPr="00772B52" w:rsidRDefault="00772B52" w:rsidP="00713C06">
      <w:pPr>
        <w:rPr>
          <w:sz w:val="21"/>
        </w:rPr>
      </w:pPr>
      <w:r w:rsidRPr="00772B52">
        <w:rPr>
          <w:sz w:val="21"/>
        </w:rPr>
        <w:t>[1] R4-2317400.</w:t>
      </w:r>
      <w:r w:rsidRPr="00772B52">
        <w:rPr>
          <w:noProof/>
          <w:sz w:val="21"/>
        </w:rPr>
        <w:t xml:space="preserve"> On MRTD/MTTD requirement for inter-band non-collocated EN-DC/NE-DC (R16), Apple</w:t>
      </w:r>
    </w:p>
    <w:p w14:paraId="60467E06" w14:textId="499F65A5" w:rsidR="00772B52" w:rsidRPr="00772B52" w:rsidRDefault="00772B52" w:rsidP="00713C06">
      <w:pPr>
        <w:rPr>
          <w:sz w:val="21"/>
          <w:lang w:val="en-US"/>
        </w:rPr>
      </w:pPr>
      <w:r w:rsidRPr="00772B52">
        <w:rPr>
          <w:rFonts w:hint="eastAsia"/>
          <w:sz w:val="21"/>
          <w:lang w:val="en-US"/>
        </w:rPr>
        <w:t>[</w:t>
      </w:r>
      <w:r w:rsidRPr="00772B52">
        <w:rPr>
          <w:sz w:val="21"/>
          <w:lang w:val="en-US"/>
        </w:rPr>
        <w:t>2]</w:t>
      </w:r>
      <w:r w:rsidRPr="00772B52">
        <w:rPr>
          <w:sz w:val="21"/>
        </w:rPr>
        <w:t xml:space="preserve"> R4-231xxxx, </w:t>
      </w:r>
      <w:r w:rsidRPr="00772B52">
        <w:rPr>
          <w:noProof/>
          <w:sz w:val="21"/>
        </w:rPr>
        <w:t>CR for MRTD/MTTD requirement for EN-DC/NE-DC (R16), OPPO</w:t>
      </w:r>
    </w:p>
    <w:sectPr w:rsidR="00772B52" w:rsidRPr="00772B52" w:rsidSect="00DF4177">
      <w:footerReference w:type="default" r:id="rId11"/>
      <w:footnotePr>
        <w:numRestart w:val="eachSect"/>
      </w:footnotePr>
      <w:pgSz w:w="11906" w:h="16838" w:code="9"/>
      <w:pgMar w:top="1800" w:right="1440" w:bottom="1800" w:left="144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764FE2F" w16cex:dateUtc="2023-10-27T11: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46484" w14:textId="77777777" w:rsidR="00F64034" w:rsidRDefault="00F64034">
      <w:pPr>
        <w:spacing w:after="0"/>
      </w:pPr>
      <w:r>
        <w:separator/>
      </w:r>
    </w:p>
  </w:endnote>
  <w:endnote w:type="continuationSeparator" w:id="0">
    <w:p w14:paraId="77FE6BF0" w14:textId="77777777" w:rsidR="00F64034" w:rsidRDefault="00F64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3413BD93" w:rsidR="004C5199" w:rsidRDefault="004C5199">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2</w:t>
    </w:r>
    <w:r>
      <w:fldChar w:fldCharType="end"/>
    </w:r>
    <w:r>
      <w:rPr>
        <w:rStyle w:val="a6"/>
      </w:rPr>
      <w:t>/</w:t>
    </w:r>
    <w:r>
      <w:fldChar w:fldCharType="begin"/>
    </w:r>
    <w:r>
      <w:rPr>
        <w:rStyle w:val="a6"/>
      </w:rPr>
      <w:instrText xml:space="preserve"> NUMPAGES </w:instrText>
    </w:r>
    <w:r>
      <w:fldChar w:fldCharType="separate"/>
    </w:r>
    <w:r>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9B905" w14:textId="77777777" w:rsidR="00F64034" w:rsidRDefault="00F64034">
      <w:pPr>
        <w:spacing w:after="0"/>
      </w:pPr>
      <w:r>
        <w:separator/>
      </w:r>
    </w:p>
  </w:footnote>
  <w:footnote w:type="continuationSeparator" w:id="0">
    <w:p w14:paraId="5E344087" w14:textId="77777777" w:rsidR="00F64034" w:rsidRDefault="00F640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38A4686"/>
    <w:multiLevelType w:val="hybridMultilevel"/>
    <w:tmpl w:val="FA4AA94A"/>
    <w:lvl w:ilvl="0" w:tplc="A3A0C0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9966646"/>
    <w:multiLevelType w:val="hybridMultilevel"/>
    <w:tmpl w:val="645ED364"/>
    <w:lvl w:ilvl="0" w:tplc="2EBAE2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24A5A2C"/>
    <w:multiLevelType w:val="hybridMultilevel"/>
    <w:tmpl w:val="393E4EE0"/>
    <w:lvl w:ilvl="0" w:tplc="49D85AE4">
      <w:start w:val="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6958DF"/>
    <w:multiLevelType w:val="hybridMultilevel"/>
    <w:tmpl w:val="645ED36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3"/>
  </w:num>
  <w:num w:numId="3">
    <w:abstractNumId w:val="3"/>
  </w:num>
  <w:num w:numId="4">
    <w:abstractNumId w:val="9"/>
  </w:num>
  <w:num w:numId="5">
    <w:abstractNumId w:val="2"/>
  </w:num>
  <w:num w:numId="6">
    <w:abstractNumId w:val="7"/>
  </w:num>
  <w:num w:numId="7">
    <w:abstractNumId w:val="6"/>
  </w:num>
  <w:num w:numId="8">
    <w:abstractNumId w:val="11"/>
  </w:num>
  <w:num w:numId="9">
    <w:abstractNumId w:val="19"/>
  </w:num>
  <w:num w:numId="10">
    <w:abstractNumId w:val="12"/>
  </w:num>
  <w:num w:numId="11">
    <w:abstractNumId w:val="18"/>
  </w:num>
  <w:num w:numId="12">
    <w:abstractNumId w:val="14"/>
  </w:num>
  <w:num w:numId="13">
    <w:abstractNumId w:val="17"/>
  </w:num>
  <w:num w:numId="14">
    <w:abstractNumId w:val="4"/>
  </w:num>
  <w:num w:numId="15">
    <w:abstractNumId w:val="15"/>
  </w:num>
  <w:num w:numId="16">
    <w:abstractNumId w:val="16"/>
  </w:num>
  <w:num w:numId="17">
    <w:abstractNumId w:val="1"/>
  </w:num>
  <w:num w:numId="18">
    <w:abstractNumId w:val="5"/>
  </w:num>
  <w:num w:numId="19">
    <w:abstractNumId w:val="10"/>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6kFAHe5oUo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16840"/>
    <w:rsid w:val="000203DC"/>
    <w:rsid w:val="0002068F"/>
    <w:rsid w:val="00021D50"/>
    <w:rsid w:val="000223D9"/>
    <w:rsid w:val="00023231"/>
    <w:rsid w:val="00024B4B"/>
    <w:rsid w:val="0002564D"/>
    <w:rsid w:val="00025BEC"/>
    <w:rsid w:val="00025C36"/>
    <w:rsid w:val="00025ECA"/>
    <w:rsid w:val="00027020"/>
    <w:rsid w:val="0002724F"/>
    <w:rsid w:val="000325B8"/>
    <w:rsid w:val="00032EFB"/>
    <w:rsid w:val="000344AF"/>
    <w:rsid w:val="00034C15"/>
    <w:rsid w:val="000363CA"/>
    <w:rsid w:val="00036647"/>
    <w:rsid w:val="0003688D"/>
    <w:rsid w:val="00036BA1"/>
    <w:rsid w:val="00036E49"/>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B71"/>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713"/>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1D3"/>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2A5"/>
    <w:rsid w:val="00135EB7"/>
    <w:rsid w:val="001369A4"/>
    <w:rsid w:val="00136B2C"/>
    <w:rsid w:val="00137AB5"/>
    <w:rsid w:val="00137CDC"/>
    <w:rsid w:val="00137F0B"/>
    <w:rsid w:val="001400FF"/>
    <w:rsid w:val="00141A2F"/>
    <w:rsid w:val="00143225"/>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3B49"/>
    <w:rsid w:val="001542F7"/>
    <w:rsid w:val="0015514C"/>
    <w:rsid w:val="001551B5"/>
    <w:rsid w:val="00155C52"/>
    <w:rsid w:val="00155D49"/>
    <w:rsid w:val="00156930"/>
    <w:rsid w:val="00156F43"/>
    <w:rsid w:val="00157741"/>
    <w:rsid w:val="001605D8"/>
    <w:rsid w:val="00163066"/>
    <w:rsid w:val="00164AE5"/>
    <w:rsid w:val="00164B62"/>
    <w:rsid w:val="00165545"/>
    <w:rsid w:val="001659C1"/>
    <w:rsid w:val="00165F0E"/>
    <w:rsid w:val="00166588"/>
    <w:rsid w:val="00166BB5"/>
    <w:rsid w:val="00166C04"/>
    <w:rsid w:val="00167822"/>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1193"/>
    <w:rsid w:val="001923A3"/>
    <w:rsid w:val="00192784"/>
    <w:rsid w:val="00192A3F"/>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3E62"/>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C21"/>
    <w:rsid w:val="001C0E23"/>
    <w:rsid w:val="001C129A"/>
    <w:rsid w:val="001C1CE5"/>
    <w:rsid w:val="001C2DC5"/>
    <w:rsid w:val="001C3090"/>
    <w:rsid w:val="001C3832"/>
    <w:rsid w:val="001C3D2A"/>
    <w:rsid w:val="001C3F1A"/>
    <w:rsid w:val="001C5542"/>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3840"/>
    <w:rsid w:val="001E4464"/>
    <w:rsid w:val="001E4A3A"/>
    <w:rsid w:val="001E4AA5"/>
    <w:rsid w:val="001E567A"/>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331"/>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821"/>
    <w:rsid w:val="002D0994"/>
    <w:rsid w:val="002D0BE5"/>
    <w:rsid w:val="002D269B"/>
    <w:rsid w:val="002D34B2"/>
    <w:rsid w:val="002D36C3"/>
    <w:rsid w:val="002D3825"/>
    <w:rsid w:val="002D410F"/>
    <w:rsid w:val="002D440F"/>
    <w:rsid w:val="002D485A"/>
    <w:rsid w:val="002D496E"/>
    <w:rsid w:val="002D5BE9"/>
    <w:rsid w:val="002D6BFE"/>
    <w:rsid w:val="002D733F"/>
    <w:rsid w:val="002D7637"/>
    <w:rsid w:val="002E0D2D"/>
    <w:rsid w:val="002E178A"/>
    <w:rsid w:val="002E17F2"/>
    <w:rsid w:val="002E2BF2"/>
    <w:rsid w:val="002E2EF6"/>
    <w:rsid w:val="002E3600"/>
    <w:rsid w:val="002E446F"/>
    <w:rsid w:val="002E5157"/>
    <w:rsid w:val="002E5A92"/>
    <w:rsid w:val="002E7C4D"/>
    <w:rsid w:val="002E7CAE"/>
    <w:rsid w:val="002E7E5D"/>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0EDA"/>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0A20"/>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7E0"/>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6B2"/>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1E6E"/>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6CEE"/>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4A2D"/>
    <w:rsid w:val="00424EB2"/>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25D9"/>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477"/>
    <w:rsid w:val="004545B6"/>
    <w:rsid w:val="00456589"/>
    <w:rsid w:val="00457565"/>
    <w:rsid w:val="00457B71"/>
    <w:rsid w:val="004620FA"/>
    <w:rsid w:val="004632FA"/>
    <w:rsid w:val="00463505"/>
    <w:rsid w:val="004652FD"/>
    <w:rsid w:val="004669E2"/>
    <w:rsid w:val="004707B7"/>
    <w:rsid w:val="00470C31"/>
    <w:rsid w:val="0047204C"/>
    <w:rsid w:val="00472C54"/>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8AC"/>
    <w:rsid w:val="004A2B94"/>
    <w:rsid w:val="004A318F"/>
    <w:rsid w:val="004A3D72"/>
    <w:rsid w:val="004A4DB9"/>
    <w:rsid w:val="004A55C5"/>
    <w:rsid w:val="004A64FA"/>
    <w:rsid w:val="004B09A0"/>
    <w:rsid w:val="004B1FA5"/>
    <w:rsid w:val="004B254E"/>
    <w:rsid w:val="004B2B6D"/>
    <w:rsid w:val="004B32A3"/>
    <w:rsid w:val="004B33B3"/>
    <w:rsid w:val="004B4ECD"/>
    <w:rsid w:val="004B5C2F"/>
    <w:rsid w:val="004B72FC"/>
    <w:rsid w:val="004B7C0C"/>
    <w:rsid w:val="004C005B"/>
    <w:rsid w:val="004C0117"/>
    <w:rsid w:val="004C089A"/>
    <w:rsid w:val="004C3898"/>
    <w:rsid w:val="004C4246"/>
    <w:rsid w:val="004C49D0"/>
    <w:rsid w:val="004C5199"/>
    <w:rsid w:val="004C57ED"/>
    <w:rsid w:val="004C6233"/>
    <w:rsid w:val="004C6FC1"/>
    <w:rsid w:val="004D1E7F"/>
    <w:rsid w:val="004D1F5A"/>
    <w:rsid w:val="004D22F6"/>
    <w:rsid w:val="004D36B1"/>
    <w:rsid w:val="004D3ACD"/>
    <w:rsid w:val="004D3F54"/>
    <w:rsid w:val="004D6368"/>
    <w:rsid w:val="004D6804"/>
    <w:rsid w:val="004D6F96"/>
    <w:rsid w:val="004D79AB"/>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E79FC"/>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48A"/>
    <w:rsid w:val="005116F9"/>
    <w:rsid w:val="00511885"/>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5BA"/>
    <w:rsid w:val="00537792"/>
    <w:rsid w:val="00537932"/>
    <w:rsid w:val="00537C62"/>
    <w:rsid w:val="00540697"/>
    <w:rsid w:val="0054153B"/>
    <w:rsid w:val="00541897"/>
    <w:rsid w:val="00542AEF"/>
    <w:rsid w:val="00542BCE"/>
    <w:rsid w:val="005431B2"/>
    <w:rsid w:val="005449F6"/>
    <w:rsid w:val="00546970"/>
    <w:rsid w:val="00546F49"/>
    <w:rsid w:val="00552585"/>
    <w:rsid w:val="00552B7C"/>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33A"/>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5B9"/>
    <w:rsid w:val="00595DCA"/>
    <w:rsid w:val="00596174"/>
    <w:rsid w:val="005975B0"/>
    <w:rsid w:val="0059779B"/>
    <w:rsid w:val="00597CD4"/>
    <w:rsid w:val="00597EED"/>
    <w:rsid w:val="005A00DA"/>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184"/>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CD7"/>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5B4A"/>
    <w:rsid w:val="0060667C"/>
    <w:rsid w:val="00606A65"/>
    <w:rsid w:val="00611B83"/>
    <w:rsid w:val="00612A50"/>
    <w:rsid w:val="00613257"/>
    <w:rsid w:val="0061342C"/>
    <w:rsid w:val="0061437E"/>
    <w:rsid w:val="006146CE"/>
    <w:rsid w:val="00615AC2"/>
    <w:rsid w:val="00616509"/>
    <w:rsid w:val="00617052"/>
    <w:rsid w:val="00617608"/>
    <w:rsid w:val="006177A7"/>
    <w:rsid w:val="00620A71"/>
    <w:rsid w:val="00620D80"/>
    <w:rsid w:val="00621C26"/>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6EE"/>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1B9"/>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3A75"/>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A33"/>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17"/>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0F15"/>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5C05"/>
    <w:rsid w:val="00766BAD"/>
    <w:rsid w:val="00767672"/>
    <w:rsid w:val="00767BDD"/>
    <w:rsid w:val="00771706"/>
    <w:rsid w:val="00771B71"/>
    <w:rsid w:val="007721D3"/>
    <w:rsid w:val="0077248D"/>
    <w:rsid w:val="0077256A"/>
    <w:rsid w:val="00772906"/>
    <w:rsid w:val="00772B52"/>
    <w:rsid w:val="00772F7E"/>
    <w:rsid w:val="00773D41"/>
    <w:rsid w:val="0077428A"/>
    <w:rsid w:val="00774748"/>
    <w:rsid w:val="00775299"/>
    <w:rsid w:val="007755F2"/>
    <w:rsid w:val="00776416"/>
    <w:rsid w:val="007764AF"/>
    <w:rsid w:val="007767E2"/>
    <w:rsid w:val="00776971"/>
    <w:rsid w:val="0077710C"/>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6695"/>
    <w:rsid w:val="0078701F"/>
    <w:rsid w:val="007878D1"/>
    <w:rsid w:val="00787C29"/>
    <w:rsid w:val="00790CC9"/>
    <w:rsid w:val="007914F2"/>
    <w:rsid w:val="007916DF"/>
    <w:rsid w:val="00792054"/>
    <w:rsid w:val="007925EA"/>
    <w:rsid w:val="007930E5"/>
    <w:rsid w:val="007937AD"/>
    <w:rsid w:val="00793BEE"/>
    <w:rsid w:val="00793CD8"/>
    <w:rsid w:val="00793FB0"/>
    <w:rsid w:val="007940A3"/>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A7C15"/>
    <w:rsid w:val="007A7FE3"/>
    <w:rsid w:val="007B0333"/>
    <w:rsid w:val="007B0C08"/>
    <w:rsid w:val="007B1007"/>
    <w:rsid w:val="007B1D07"/>
    <w:rsid w:val="007B2367"/>
    <w:rsid w:val="007B2E23"/>
    <w:rsid w:val="007B3429"/>
    <w:rsid w:val="007B3D2D"/>
    <w:rsid w:val="007B50AE"/>
    <w:rsid w:val="007B50EB"/>
    <w:rsid w:val="007B51D1"/>
    <w:rsid w:val="007B51DF"/>
    <w:rsid w:val="007B51E4"/>
    <w:rsid w:val="007B5329"/>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1FF"/>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5CA"/>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1CF9"/>
    <w:rsid w:val="008C2017"/>
    <w:rsid w:val="008C4407"/>
    <w:rsid w:val="008C458A"/>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2A60"/>
    <w:rsid w:val="0091311E"/>
    <w:rsid w:val="009139D9"/>
    <w:rsid w:val="00914AD8"/>
    <w:rsid w:val="009156F0"/>
    <w:rsid w:val="00916079"/>
    <w:rsid w:val="00917CE9"/>
    <w:rsid w:val="00920BF2"/>
    <w:rsid w:val="00920DCC"/>
    <w:rsid w:val="009210EF"/>
    <w:rsid w:val="00921D86"/>
    <w:rsid w:val="00921DE3"/>
    <w:rsid w:val="00922010"/>
    <w:rsid w:val="00923E61"/>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2C8A"/>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7EA"/>
    <w:rsid w:val="009C3625"/>
    <w:rsid w:val="009C403E"/>
    <w:rsid w:val="009C4B0A"/>
    <w:rsid w:val="009C5300"/>
    <w:rsid w:val="009D03A8"/>
    <w:rsid w:val="009D13CF"/>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4D7"/>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1A"/>
    <w:rsid w:val="00A51EC9"/>
    <w:rsid w:val="00A52D50"/>
    <w:rsid w:val="00A52E1D"/>
    <w:rsid w:val="00A53FD1"/>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41C"/>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0E9D"/>
    <w:rsid w:val="00AA1984"/>
    <w:rsid w:val="00AA1ED6"/>
    <w:rsid w:val="00AA35B9"/>
    <w:rsid w:val="00AA3711"/>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910"/>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E713C"/>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1F40"/>
    <w:rsid w:val="00B02AA9"/>
    <w:rsid w:val="00B02FA3"/>
    <w:rsid w:val="00B02FF3"/>
    <w:rsid w:val="00B03302"/>
    <w:rsid w:val="00B03E30"/>
    <w:rsid w:val="00B05084"/>
    <w:rsid w:val="00B05E98"/>
    <w:rsid w:val="00B07DD7"/>
    <w:rsid w:val="00B101E0"/>
    <w:rsid w:val="00B10E4C"/>
    <w:rsid w:val="00B121B1"/>
    <w:rsid w:val="00B130C7"/>
    <w:rsid w:val="00B132D1"/>
    <w:rsid w:val="00B133AE"/>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5B1B"/>
    <w:rsid w:val="00B26318"/>
    <w:rsid w:val="00B2763F"/>
    <w:rsid w:val="00B27AAC"/>
    <w:rsid w:val="00B27BF7"/>
    <w:rsid w:val="00B30065"/>
    <w:rsid w:val="00B30929"/>
    <w:rsid w:val="00B315AF"/>
    <w:rsid w:val="00B32547"/>
    <w:rsid w:val="00B33012"/>
    <w:rsid w:val="00B3411D"/>
    <w:rsid w:val="00B342DC"/>
    <w:rsid w:val="00B34CBD"/>
    <w:rsid w:val="00B35CAF"/>
    <w:rsid w:val="00B35F5E"/>
    <w:rsid w:val="00B36C4B"/>
    <w:rsid w:val="00B372AA"/>
    <w:rsid w:val="00B37BBF"/>
    <w:rsid w:val="00B40445"/>
    <w:rsid w:val="00B41888"/>
    <w:rsid w:val="00B41BC6"/>
    <w:rsid w:val="00B43E66"/>
    <w:rsid w:val="00B43FCB"/>
    <w:rsid w:val="00B445BC"/>
    <w:rsid w:val="00B446EA"/>
    <w:rsid w:val="00B44EA9"/>
    <w:rsid w:val="00B45A52"/>
    <w:rsid w:val="00B46175"/>
    <w:rsid w:val="00B475E2"/>
    <w:rsid w:val="00B52E5B"/>
    <w:rsid w:val="00B5336F"/>
    <w:rsid w:val="00B536D4"/>
    <w:rsid w:val="00B53A00"/>
    <w:rsid w:val="00B54340"/>
    <w:rsid w:val="00B555C1"/>
    <w:rsid w:val="00B61138"/>
    <w:rsid w:val="00B6147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2FD3"/>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227"/>
    <w:rsid w:val="00BC6381"/>
    <w:rsid w:val="00BC7235"/>
    <w:rsid w:val="00BC76FE"/>
    <w:rsid w:val="00BC776B"/>
    <w:rsid w:val="00BD0AAA"/>
    <w:rsid w:val="00BD2890"/>
    <w:rsid w:val="00BD3148"/>
    <w:rsid w:val="00BD41B3"/>
    <w:rsid w:val="00BD4278"/>
    <w:rsid w:val="00BD4816"/>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2C"/>
    <w:rsid w:val="00C015F1"/>
    <w:rsid w:val="00C01F33"/>
    <w:rsid w:val="00C02CC6"/>
    <w:rsid w:val="00C032F1"/>
    <w:rsid w:val="00C040F7"/>
    <w:rsid w:val="00C044AB"/>
    <w:rsid w:val="00C044DB"/>
    <w:rsid w:val="00C050C4"/>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4C0"/>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CAD"/>
    <w:rsid w:val="00CA1ED8"/>
    <w:rsid w:val="00CA22E1"/>
    <w:rsid w:val="00CA293D"/>
    <w:rsid w:val="00CA2A9A"/>
    <w:rsid w:val="00CA33F2"/>
    <w:rsid w:val="00CA395E"/>
    <w:rsid w:val="00CA4BBD"/>
    <w:rsid w:val="00CA4EBB"/>
    <w:rsid w:val="00CA5609"/>
    <w:rsid w:val="00CA5A73"/>
    <w:rsid w:val="00CB00AD"/>
    <w:rsid w:val="00CB00B3"/>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32B"/>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1D73"/>
    <w:rsid w:val="00CF3B1F"/>
    <w:rsid w:val="00CF3BF6"/>
    <w:rsid w:val="00CF3E4A"/>
    <w:rsid w:val="00CF4C4F"/>
    <w:rsid w:val="00CF5B3D"/>
    <w:rsid w:val="00CF625B"/>
    <w:rsid w:val="00CF687E"/>
    <w:rsid w:val="00CF70B8"/>
    <w:rsid w:val="00CF7764"/>
    <w:rsid w:val="00D00118"/>
    <w:rsid w:val="00D02520"/>
    <w:rsid w:val="00D029EC"/>
    <w:rsid w:val="00D02C0E"/>
    <w:rsid w:val="00D0349B"/>
    <w:rsid w:val="00D045F6"/>
    <w:rsid w:val="00D0573B"/>
    <w:rsid w:val="00D05895"/>
    <w:rsid w:val="00D064C1"/>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3435"/>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447D"/>
    <w:rsid w:val="00D45F81"/>
    <w:rsid w:val="00D46D01"/>
    <w:rsid w:val="00D51FEB"/>
    <w:rsid w:val="00D523BE"/>
    <w:rsid w:val="00D546FF"/>
    <w:rsid w:val="00D5513F"/>
    <w:rsid w:val="00D5534A"/>
    <w:rsid w:val="00D55AD5"/>
    <w:rsid w:val="00D576CA"/>
    <w:rsid w:val="00D6067A"/>
    <w:rsid w:val="00D61888"/>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662C"/>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469B"/>
    <w:rsid w:val="00DA5417"/>
    <w:rsid w:val="00DA56E8"/>
    <w:rsid w:val="00DA5851"/>
    <w:rsid w:val="00DA75F8"/>
    <w:rsid w:val="00DA7D5F"/>
    <w:rsid w:val="00DB0A9F"/>
    <w:rsid w:val="00DB0F06"/>
    <w:rsid w:val="00DB1CCD"/>
    <w:rsid w:val="00DB1F42"/>
    <w:rsid w:val="00DB2E80"/>
    <w:rsid w:val="00DB3185"/>
    <w:rsid w:val="00DB3568"/>
    <w:rsid w:val="00DB377D"/>
    <w:rsid w:val="00DB3F3F"/>
    <w:rsid w:val="00DB4F87"/>
    <w:rsid w:val="00DB74C2"/>
    <w:rsid w:val="00DB7598"/>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D6230"/>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4177"/>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4C89"/>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2D9A"/>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349"/>
    <w:rsid w:val="00EF5455"/>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3657D"/>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034"/>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720"/>
    <w:rsid w:val="00FA3AAA"/>
    <w:rsid w:val="00FA446D"/>
    <w:rsid w:val="00FA50EC"/>
    <w:rsid w:val="00FA6713"/>
    <w:rsid w:val="00FA794B"/>
    <w:rsid w:val="00FB004F"/>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AF"/>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641"/>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4"/>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 w:type="paragraph" w:customStyle="1" w:styleId="References">
    <w:name w:val="References"/>
    <w:basedOn w:val="a0"/>
    <w:uiPriority w:val="99"/>
    <w:rsid w:val="007A7FE3"/>
    <w:pPr>
      <w:numPr>
        <w:numId w:val="16"/>
      </w:numPr>
      <w:tabs>
        <w:tab w:val="clear" w:pos="360"/>
      </w:tabs>
      <w:spacing w:after="80"/>
      <w:jc w:val="left"/>
    </w:pPr>
    <w:rPr>
      <w:rFonts w:ascii="Times New Roman" w:eastAsia="MS Mincho" w:hAnsi="Times New Roman"/>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8232C6-DF82-405E-8247-8F95F0124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21</TotalTime>
  <Pages>3</Pages>
  <Words>819</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5478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OPPO-RAN4#109</cp:lastModifiedBy>
  <cp:revision>5</cp:revision>
  <cp:lastPrinted>2008-01-31T16:09:00Z</cp:lastPrinted>
  <dcterms:created xsi:type="dcterms:W3CDTF">2023-10-31T13:29:00Z</dcterms:created>
  <dcterms:modified xsi:type="dcterms:W3CDTF">2023-11-03T09:34:00Z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